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 xml:space="preserve">As constantes mudanças tecnologias, que trazem novos paradigmas e funcionalidades, tem feito com que as tecnologias com as quais diversos sistemas foram feitos tenham ficado ultrapassadas. Isso faz com que as empresas tenham a necessidade de migrar para tecnologias mais recentes, que possuam todas as características desejadas. Entretanto, essa migração normalmente não é trivial, já que muitas vezes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migrando o banco de dados da aplicação original o </w:t>
      </w:r>
      <w:r>
        <w:rPr>
          <w:rFonts w:ascii="Arial" w:eastAsia="Arial" w:hAnsi="Arial" w:cs="Arial"/>
          <w:i/>
          <w:sz w:val="24"/>
        </w:rPr>
        <w:t>rails</w:t>
      </w:r>
      <w:r>
        <w:rPr>
          <w:rFonts w:ascii="Arial" w:eastAsia="Arial" w:hAnsi="Arial" w:cs="Arial"/>
          <w:sz w:val="24"/>
        </w:rPr>
        <w:t>.</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D42156"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42156"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D42156"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D42156"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bookmarkStart w:id="0" w:name="_GoBack"/>
      <w:bookmarkEnd w:id="0"/>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D42156"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D42156"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D42156">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D42156"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D42156"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D42156"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Este trabalho teve como objetivo uma aplicação que traduzisse um sistema legado em um framework web em Ruby on Rails, a partir de um banco de dados fornecido. O diferencial deste trabalho é justamente a utilização do Rails, pois esta plataforma fornece diversos recursos capazes de agilizar a construção de uma aplicação simples, porém bem definida.</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por outro lado,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A implementação efetuada no trabalho foi realmente definida no capítulo 4, onde é relembrada a utilização do YACC e do Lex. O projeto que foi utilizado como base de testes também é especificado. Esse projeto era um sistema hospitalar chamado Pajé. O </w:t>
      </w:r>
      <w:r>
        <w:rPr>
          <w:rFonts w:ascii="Arial" w:hAnsi="Arial" w:cs="Arial"/>
          <w:i/>
          <w:sz w:val="24"/>
          <w:szCs w:val="24"/>
        </w:rPr>
        <w:t>SQL Schema</w:t>
      </w:r>
      <w:r>
        <w:rPr>
          <w:rFonts w:ascii="Arial" w:hAnsi="Arial" w:cs="Arial"/>
          <w:sz w:val="24"/>
          <w:szCs w:val="24"/>
        </w:rPr>
        <w:t xml:space="preserve"> deste sistema é definido por um exemplo e depois mostra-se o comando utilizado para executar no nosso programa. Especificações das transformações do </w:t>
      </w:r>
      <w:r>
        <w:rPr>
          <w:rFonts w:ascii="Arial" w:hAnsi="Arial" w:cs="Arial"/>
          <w:i/>
          <w:sz w:val="24"/>
          <w:szCs w:val="24"/>
        </w:rPr>
        <w:t>schema</w:t>
      </w:r>
      <w:r>
        <w:rPr>
          <w:rFonts w:ascii="Arial" w:hAnsi="Arial" w:cs="Arial"/>
          <w:sz w:val="24"/>
          <w:szCs w:val="24"/>
        </w:rPr>
        <w:t xml:space="preserve"> para o </w:t>
      </w:r>
      <w:r>
        <w:rPr>
          <w:rFonts w:ascii="Arial" w:hAnsi="Arial" w:cs="Arial"/>
          <w:i/>
          <w:sz w:val="24"/>
          <w:szCs w:val="24"/>
        </w:rPr>
        <w:t>Rails</w:t>
      </w:r>
      <w:r>
        <w:rPr>
          <w:rFonts w:ascii="Arial" w:hAnsi="Arial" w:cs="Arial"/>
          <w:sz w:val="24"/>
          <w:szCs w:val="24"/>
        </w:rPr>
        <w:t xml:space="preserve"> foram mostradas. Coisas como transformação de dados como id, atributos ponto flutuantes e referências a outras tabelas.</w:t>
      </w:r>
    </w:p>
    <w:p w:rsidR="003D0C04" w:rsidRP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156" w:rsidRDefault="00D42156" w:rsidP="00EC2CEF">
      <w:pPr>
        <w:spacing w:after="0" w:line="240" w:lineRule="auto"/>
      </w:pPr>
      <w:r>
        <w:separator/>
      </w:r>
    </w:p>
  </w:endnote>
  <w:endnote w:type="continuationSeparator" w:id="0">
    <w:p w:rsidR="00D42156" w:rsidRDefault="00D42156"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156" w:rsidRDefault="00D42156" w:rsidP="00EC2CEF">
      <w:pPr>
        <w:spacing w:after="0" w:line="240" w:lineRule="auto"/>
      </w:pPr>
      <w:r>
        <w:separator/>
      </w:r>
    </w:p>
  </w:footnote>
  <w:footnote w:type="continuationSeparator" w:id="0">
    <w:p w:rsidR="00D42156" w:rsidRDefault="00D42156"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B96542">
          <w:rPr>
            <w:noProof/>
          </w:rPr>
          <w:t>16</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83D8F"/>
    <w:rsid w:val="00890B3A"/>
    <w:rsid w:val="008C2897"/>
    <w:rsid w:val="00913B46"/>
    <w:rsid w:val="009B7717"/>
    <w:rsid w:val="00A643C2"/>
    <w:rsid w:val="00AA1937"/>
    <w:rsid w:val="00AC36C4"/>
    <w:rsid w:val="00B058E4"/>
    <w:rsid w:val="00B11B9D"/>
    <w:rsid w:val="00B15395"/>
    <w:rsid w:val="00B96542"/>
    <w:rsid w:val="00BB0E5B"/>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E11E7-85B9-4C1B-8DC1-5A3377FE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26</Pages>
  <Words>4237</Words>
  <Characters>22884</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81</cp:revision>
  <cp:lastPrinted>2014-12-10T20:10:00Z</cp:lastPrinted>
  <dcterms:created xsi:type="dcterms:W3CDTF">2014-12-09T16:47:00Z</dcterms:created>
  <dcterms:modified xsi:type="dcterms:W3CDTF">2014-12-10T21:12:00Z</dcterms:modified>
</cp:coreProperties>
</file>