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25FB" w14:textId="77777777" w:rsidR="00C14E04" w:rsidRDefault="00000000">
      <w:pPr>
        <w:spacing w:after="200"/>
        <w:jc w:val="center"/>
      </w:pPr>
      <w:r>
        <w:rPr>
          <w:b/>
          <w:bCs/>
          <w:sz w:val="28"/>
          <w:szCs w:val="28"/>
        </w:rPr>
        <w:t>O QUE É UMA REGRA DE NEGÓCIO</w:t>
      </w:r>
    </w:p>
    <w:p w14:paraId="1411F92F" w14:textId="77777777" w:rsidR="00C14E04" w:rsidRDefault="00000000">
      <w:pPr>
        <w:spacing w:after="200"/>
        <w:jc w:val="center"/>
      </w:pPr>
      <w:proofErr w:type="spellStart"/>
      <w:r>
        <w:rPr>
          <w:b/>
          <w:bCs/>
          <w:sz w:val="22"/>
          <w:szCs w:val="22"/>
        </w:rPr>
        <w:t>NexusDev</w:t>
      </w:r>
      <w:proofErr w:type="spellEnd"/>
      <w:r>
        <w:rPr>
          <w:b/>
          <w:bCs/>
          <w:sz w:val="22"/>
          <w:szCs w:val="22"/>
        </w:rPr>
        <w:t xml:space="preserve"> Platform — conceito e tabela de regras de negócio da aplicação</w:t>
      </w:r>
    </w:p>
    <w:p w14:paraId="1091423D" w14:textId="77777777" w:rsidR="00C14E04" w:rsidRDefault="00C14E04">
      <w:pPr>
        <w:spacing w:after="300"/>
      </w:pPr>
    </w:p>
    <w:p w14:paraId="2FA6E08C" w14:textId="77777777" w:rsidR="00C14E04" w:rsidRDefault="00000000">
      <w:pPr>
        <w:pStyle w:val="Ttulo1"/>
        <w:spacing w:before="300" w:after="200"/>
      </w:pPr>
      <w:r>
        <w:rPr>
          <w:b/>
          <w:bCs/>
          <w:sz w:val="26"/>
          <w:szCs w:val="26"/>
        </w:rPr>
        <w:t>1 O QUE É UMA REGRA DE NEGÓCIO</w:t>
      </w:r>
    </w:p>
    <w:p w14:paraId="30013227" w14:textId="77777777" w:rsidR="00C14E04" w:rsidRPr="003A28C3" w:rsidRDefault="00000000">
      <w:pPr>
        <w:spacing w:after="200" w:line="360" w:lineRule="auto"/>
        <w:jc w:val="both"/>
        <w:rPr>
          <w:rFonts w:ascii="Arial" w:hAnsi="Arial" w:cs="Arial"/>
        </w:rPr>
      </w:pPr>
      <w:r w:rsidRPr="003A28C3">
        <w:rPr>
          <w:rFonts w:ascii="Arial" w:hAnsi="Arial" w:cs="Arial"/>
          <w:sz w:val="24"/>
          <w:szCs w:val="24"/>
        </w:rPr>
        <w:t>Segundo Ross (2003), uma regra de negócio é uma declaração que define ou restringe algum aspecto do negócio, com o propósito de garantir a estrutura da organização ou controlar e influenciar seu comportamento. Em outras palavras, é uma afirmação que descreve uma política, uma restrição ou um critério de decisão da empresa, e que continuaria valendo mesmo que nenhum sistema informatizado existisse: ela nasce do jeito como a Cristal UP! opera, negocia e decide, e o sistema apenas passa a fazer valer essa política de forma automática e consistente.</w:t>
      </w:r>
    </w:p>
    <w:p w14:paraId="38EDCD19" w14:textId="77777777" w:rsidR="00C14E04" w:rsidRPr="003A28C3" w:rsidRDefault="00000000">
      <w:pPr>
        <w:spacing w:after="200" w:line="360" w:lineRule="auto"/>
        <w:jc w:val="both"/>
        <w:rPr>
          <w:rFonts w:ascii="Arial" w:hAnsi="Arial" w:cs="Arial"/>
        </w:rPr>
      </w:pPr>
      <w:r w:rsidRPr="003A28C3">
        <w:rPr>
          <w:rFonts w:ascii="Arial" w:hAnsi="Arial" w:cs="Arial"/>
          <w:sz w:val="24"/>
          <w:szCs w:val="24"/>
        </w:rPr>
        <w:t xml:space="preserve">Uma boa forma de testar se algo é regra de negócio é perguntar: "essa afirmação continuaria sendo verdade se a empresa trabalhasse só no papel, sem nenhum sistema?". Se a resposta for sim, é regra de negócio — como "um cliente com projeto ativo não pode ser encerrado", decisão de gestão da Cristal UP! e não característica de software. Isso é diferente de um requisito do sistema, que descreve o que o software precisa fazer para que a regra seja cumprida (ex.: "o sistema deve bloquear a inativação do CLIENTE e exibir mensagem informando a quantidade de projetos impeditivos"). O Business </w:t>
      </w:r>
      <w:proofErr w:type="spellStart"/>
      <w:r w:rsidRPr="003A28C3">
        <w:rPr>
          <w:rFonts w:ascii="Arial" w:hAnsi="Arial" w:cs="Arial"/>
          <w:sz w:val="24"/>
          <w:szCs w:val="24"/>
        </w:rPr>
        <w:t>Rules</w:t>
      </w:r>
      <w:proofErr w:type="spellEnd"/>
      <w:r w:rsidRPr="003A28C3">
        <w:rPr>
          <w:rFonts w:ascii="Arial" w:hAnsi="Arial" w:cs="Arial"/>
          <w:sz w:val="24"/>
          <w:szCs w:val="24"/>
        </w:rPr>
        <w:t xml:space="preserve"> Manifesto (BUSINESS RULES GROUP, 2003) reforça essa distinção ao afirmar que as regras de negócio existem à parte de qualquer processo ou automação e não devem ficar ocultas dentro da tecnologia que as implementa: a regra é a política; o requisito é a implementação dessa política em forma de comportamento de sistema.</w:t>
      </w:r>
    </w:p>
    <w:p w14:paraId="15E20423" w14:textId="77777777" w:rsidR="00C14E04" w:rsidRPr="003A28C3" w:rsidRDefault="00000000">
      <w:pPr>
        <w:spacing w:after="200" w:line="360" w:lineRule="auto"/>
        <w:jc w:val="both"/>
        <w:rPr>
          <w:rFonts w:ascii="Arial" w:hAnsi="Arial" w:cs="Arial"/>
        </w:rPr>
      </w:pPr>
      <w:r w:rsidRPr="003A28C3">
        <w:rPr>
          <w:rFonts w:ascii="Arial" w:hAnsi="Arial" w:cs="Arial"/>
          <w:sz w:val="24"/>
          <w:szCs w:val="24"/>
        </w:rPr>
        <w:t xml:space="preserve">Uma regra de negócio bem redigida também deve ser independente de tecnologia, objetiva e verificável, escrita em linguagem de negócio (e não em termos técnicos) e rastreável até a entrevista ou decisão que a originou (BUSINESS RULES GROUP, 2003). O Guia BABOK (IIBA, 2015) classifica as regras em dois grandes grupos — regras estruturais (ou de definição), que estabelecem fatos e relações entre conceitos do negócio, e regras comportamentais (ou de restrição de ação), que definem ou restringem o que a organização e seus agentes podem fazer. A tabela a seguir usa um refinamento prático desses dois grupos em cinco categorias (Restrição de acesso, </w:t>
      </w:r>
      <w:r w:rsidRPr="003A28C3">
        <w:rPr>
          <w:rFonts w:ascii="Arial" w:hAnsi="Arial" w:cs="Arial"/>
          <w:sz w:val="24"/>
          <w:szCs w:val="24"/>
        </w:rPr>
        <w:lastRenderedPageBreak/>
        <w:t xml:space="preserve">Restrição de integridade/estado, Definição/critério, Regra de processo/decisão e Governança/auditoria) para classificar as regras já levantadas junto à Cristal </w:t>
      </w:r>
      <w:proofErr w:type="gramStart"/>
      <w:r w:rsidRPr="003A28C3">
        <w:rPr>
          <w:rFonts w:ascii="Arial" w:hAnsi="Arial" w:cs="Arial"/>
          <w:sz w:val="24"/>
          <w:szCs w:val="24"/>
        </w:rPr>
        <w:t>UP!.</w:t>
      </w:r>
      <w:proofErr w:type="gramEnd"/>
    </w:p>
    <w:p w14:paraId="1AC57434" w14:textId="77777777" w:rsidR="00C14E04" w:rsidRDefault="00000000">
      <w:pPr>
        <w:pStyle w:val="Ttulo1"/>
        <w:spacing w:before="300" w:after="200"/>
      </w:pPr>
      <w:r>
        <w:rPr>
          <w:b/>
          <w:bCs/>
          <w:sz w:val="26"/>
          <w:szCs w:val="26"/>
        </w:rPr>
        <w:t>2 TABELA DE REGRAS DE NEGÓCIO DO NEXUSDEV PLATFORM</w:t>
      </w:r>
    </w:p>
    <w:p w14:paraId="2407BF4A" w14:textId="77777777" w:rsidR="00C14E04" w:rsidRDefault="00000000">
      <w:pPr>
        <w:spacing w:after="200" w:line="360" w:lineRule="auto"/>
        <w:jc w:val="both"/>
      </w:pPr>
      <w:r>
        <w:rPr>
          <w:sz w:val="24"/>
          <w:szCs w:val="24"/>
        </w:rPr>
        <w:t>A tabela a seguir reúne as regras de negócio da Cristal UP! já levantadas junto à empresa, numeradas de RN-01 a RN-22. A coluna "Categoria" classifica a regra conforme as cinco categorias descritas acima, e a coluna "Fonte" indica a pergunta do questionário de regras de negócio da qual a regra foi extraída.</w:t>
      </w:r>
    </w:p>
    <w:p w14:paraId="58424FE6" w14:textId="77777777" w:rsidR="00C14E04" w:rsidRPr="003A28C3" w:rsidRDefault="00000000">
      <w:pPr>
        <w:spacing w:before="200" w:after="100"/>
        <w:rPr>
          <w:rFonts w:ascii="Arial" w:hAnsi="Arial" w:cs="Arial"/>
        </w:rPr>
      </w:pPr>
      <w:r w:rsidRPr="003A28C3">
        <w:rPr>
          <w:rFonts w:ascii="Arial" w:hAnsi="Arial" w:cs="Arial"/>
          <w:b/>
          <w:bCs/>
          <w:sz w:val="22"/>
          <w:szCs w:val="22"/>
        </w:rPr>
        <w:t xml:space="preserve">Quadro 1 — Regras de negócio do </w:t>
      </w:r>
      <w:proofErr w:type="spellStart"/>
      <w:r w:rsidRPr="003A28C3">
        <w:rPr>
          <w:rFonts w:ascii="Arial" w:hAnsi="Arial" w:cs="Arial"/>
          <w:b/>
          <w:bCs/>
          <w:sz w:val="22"/>
          <w:szCs w:val="22"/>
        </w:rPr>
        <w:t>NexusDev</w:t>
      </w:r>
      <w:proofErr w:type="spellEnd"/>
      <w:r w:rsidRPr="003A28C3">
        <w:rPr>
          <w:rFonts w:ascii="Arial" w:hAnsi="Arial" w:cs="Arial"/>
          <w:b/>
          <w:bCs/>
          <w:sz w:val="22"/>
          <w:szCs w:val="22"/>
        </w:rPr>
        <w:t xml:space="preserve"> Platform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5100"/>
        <w:gridCol w:w="2050"/>
        <w:gridCol w:w="900"/>
      </w:tblGrid>
      <w:tr w:rsidR="00C14E04" w:rsidRPr="003A28C3" w14:paraId="40107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D9D9D9"/>
            <w:vAlign w:val="center"/>
          </w:tcPr>
          <w:p w14:paraId="0300187B" w14:textId="77777777" w:rsidR="00C14E04" w:rsidRPr="003A28C3" w:rsidRDefault="00000000">
            <w:pPr>
              <w:spacing w:after="60"/>
              <w:jc w:val="center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5100" w:type="dxa"/>
            <w:shd w:val="clear" w:color="auto" w:fill="D9D9D9"/>
            <w:vAlign w:val="center"/>
          </w:tcPr>
          <w:p w14:paraId="35B7C5B4" w14:textId="77777777" w:rsidR="00C14E04" w:rsidRPr="003A28C3" w:rsidRDefault="00000000">
            <w:pPr>
              <w:spacing w:after="60"/>
              <w:jc w:val="center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  <w:b/>
                <w:bCs/>
              </w:rPr>
              <w:t>Regra de negócio</w:t>
            </w:r>
          </w:p>
        </w:tc>
        <w:tc>
          <w:tcPr>
            <w:tcW w:w="2050" w:type="dxa"/>
            <w:shd w:val="clear" w:color="auto" w:fill="D9D9D9"/>
            <w:vAlign w:val="center"/>
          </w:tcPr>
          <w:p w14:paraId="66286BDF" w14:textId="77777777" w:rsidR="00C14E04" w:rsidRPr="003A28C3" w:rsidRDefault="00000000">
            <w:pPr>
              <w:spacing w:after="60"/>
              <w:jc w:val="center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  <w:b/>
                <w:bCs/>
              </w:rPr>
              <w:t>Categoria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7BF46EB" w14:textId="77777777" w:rsidR="00C14E04" w:rsidRPr="003A28C3" w:rsidRDefault="00000000">
            <w:pPr>
              <w:spacing w:after="60"/>
              <w:jc w:val="center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  <w:b/>
                <w:bCs/>
              </w:rPr>
              <w:t>Fonte</w:t>
            </w:r>
          </w:p>
        </w:tc>
      </w:tr>
      <w:tr w:rsidR="00C14E04" w:rsidRPr="003A28C3" w14:paraId="44CFF0D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52BF39D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RN-01</w:t>
            </w:r>
          </w:p>
        </w:tc>
        <w:tc>
          <w:tcPr>
            <w:tcW w:w="5100" w:type="dxa"/>
            <w:vAlign w:val="center"/>
          </w:tcPr>
          <w:p w14:paraId="0D1BDDC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sistema deve respeitar as permissões de acesso associadas ao PERFIL de cada USUARIO em todas as operações.</w:t>
            </w:r>
          </w:p>
        </w:tc>
        <w:tc>
          <w:tcPr>
            <w:tcW w:w="2050" w:type="dxa"/>
            <w:vAlign w:val="center"/>
          </w:tcPr>
          <w:p w14:paraId="0117025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6AC28E09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</w:t>
            </w:r>
          </w:p>
        </w:tc>
      </w:tr>
      <w:tr w:rsidR="00C14E04" w:rsidRPr="003A28C3" w14:paraId="5048EFC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78568FC3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RN-02</w:t>
            </w:r>
          </w:p>
        </w:tc>
        <w:tc>
          <w:tcPr>
            <w:tcW w:w="5100" w:type="dxa"/>
            <w:vAlign w:val="center"/>
          </w:tcPr>
          <w:p w14:paraId="2BD6262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vínculo entre CLIENTE, PROJETO e TAREFA deve ser sempre preservado; nenhum desses registros pode existir sem a referência ao seu superior na cadeia.</w:t>
            </w:r>
          </w:p>
        </w:tc>
        <w:tc>
          <w:tcPr>
            <w:tcW w:w="2050" w:type="dxa"/>
            <w:vAlign w:val="center"/>
          </w:tcPr>
          <w:p w14:paraId="51815DE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</w:t>
            </w:r>
          </w:p>
        </w:tc>
        <w:tc>
          <w:tcPr>
            <w:tcW w:w="900" w:type="dxa"/>
            <w:vAlign w:val="center"/>
          </w:tcPr>
          <w:p w14:paraId="6AFB932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</w:t>
            </w:r>
          </w:p>
        </w:tc>
      </w:tr>
      <w:tr w:rsidR="00C14E04" w:rsidRPr="003A28C3" w14:paraId="5BAEACA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19243A9B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RN-03</w:t>
            </w:r>
          </w:p>
        </w:tc>
        <w:tc>
          <w:tcPr>
            <w:tcW w:w="5100" w:type="dxa"/>
            <w:vAlign w:val="center"/>
          </w:tcPr>
          <w:p w14:paraId="1DE90974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Não são permitidos cadastros de dados inválidos ou incompletos que comprometam a integridade das informações da empresa.</w:t>
            </w:r>
          </w:p>
        </w:tc>
        <w:tc>
          <w:tcPr>
            <w:tcW w:w="2050" w:type="dxa"/>
            <w:vAlign w:val="center"/>
          </w:tcPr>
          <w:p w14:paraId="101C6303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</w:t>
            </w:r>
          </w:p>
        </w:tc>
        <w:tc>
          <w:tcPr>
            <w:tcW w:w="900" w:type="dxa"/>
            <w:vAlign w:val="center"/>
          </w:tcPr>
          <w:p w14:paraId="2C0F2296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</w:t>
            </w:r>
          </w:p>
        </w:tc>
      </w:tr>
      <w:tr w:rsidR="00C14E04" w:rsidRPr="003A28C3" w14:paraId="601605D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5723876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RN-04</w:t>
            </w:r>
          </w:p>
        </w:tc>
        <w:tc>
          <w:tcPr>
            <w:tcW w:w="5100" w:type="dxa"/>
            <w:vAlign w:val="center"/>
          </w:tcPr>
          <w:p w14:paraId="090E150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histórico das principais operações deve ser preservado, contendo usuário, data e horário de cada alteração relevante.</w:t>
            </w:r>
          </w:p>
        </w:tc>
        <w:tc>
          <w:tcPr>
            <w:tcW w:w="2050" w:type="dxa"/>
            <w:vAlign w:val="center"/>
          </w:tcPr>
          <w:p w14:paraId="7C4926CC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Governança/auditoria</w:t>
            </w:r>
          </w:p>
        </w:tc>
        <w:tc>
          <w:tcPr>
            <w:tcW w:w="900" w:type="dxa"/>
            <w:vAlign w:val="center"/>
          </w:tcPr>
          <w:p w14:paraId="1D6252F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Q1, Q16</w:t>
            </w:r>
          </w:p>
        </w:tc>
      </w:tr>
      <w:tr w:rsidR="00C14E04" w:rsidRPr="003A28C3" w14:paraId="7638177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7EA7B0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RN-05</w:t>
            </w:r>
          </w:p>
        </w:tc>
        <w:tc>
          <w:tcPr>
            <w:tcW w:w="5100" w:type="dxa"/>
            <w:vAlign w:val="center"/>
          </w:tcPr>
          <w:p w14:paraId="097E42F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A aprovação de uma proposta comercial não gera automaticamente um PROJETO; a criação do projeto depende de ação de um usuário autorizado, que reaproveita os dados já levantados na proposta.</w:t>
            </w:r>
          </w:p>
        </w:tc>
        <w:tc>
          <w:tcPr>
            <w:tcW w:w="2050" w:type="dxa"/>
            <w:vAlign w:val="center"/>
          </w:tcPr>
          <w:p w14:paraId="4BDBB088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Regra de processo/decisão</w:t>
            </w:r>
          </w:p>
        </w:tc>
        <w:tc>
          <w:tcPr>
            <w:tcW w:w="900" w:type="dxa"/>
            <w:vAlign w:val="center"/>
          </w:tcPr>
          <w:p w14:paraId="4610311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Q3</w:t>
            </w:r>
          </w:p>
        </w:tc>
      </w:tr>
      <w:tr w:rsidR="00C14E04" w:rsidRPr="003A28C3" w14:paraId="55EA0D6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60E947CF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RN-06</w:t>
            </w:r>
          </w:p>
        </w:tc>
        <w:tc>
          <w:tcPr>
            <w:tcW w:w="5100" w:type="dxa"/>
            <w:vAlign w:val="center"/>
          </w:tcPr>
          <w:p w14:paraId="7074BBB8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Um CLIENTE que possua PROJETO ativo (status diferente de Concluído ou Cancelado) não pode ser inativado.</w:t>
            </w:r>
          </w:p>
        </w:tc>
        <w:tc>
          <w:tcPr>
            <w:tcW w:w="2050" w:type="dxa"/>
            <w:vAlign w:val="center"/>
          </w:tcPr>
          <w:p w14:paraId="495274C9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integridade/estado</w:t>
            </w:r>
          </w:p>
        </w:tc>
        <w:tc>
          <w:tcPr>
            <w:tcW w:w="900" w:type="dxa"/>
            <w:vAlign w:val="center"/>
          </w:tcPr>
          <w:p w14:paraId="7B570F1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Q4</w:t>
            </w:r>
          </w:p>
        </w:tc>
      </w:tr>
      <w:tr w:rsidR="00C14E04" w:rsidRPr="003A28C3" w14:paraId="636B2C0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0F1085E1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RN-07</w:t>
            </w:r>
          </w:p>
        </w:tc>
        <w:tc>
          <w:tcPr>
            <w:tcW w:w="5100" w:type="dxa"/>
            <w:vAlign w:val="center"/>
          </w:tcPr>
          <w:p w14:paraId="07ECC65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cadastro, a alteração ou a inativação de um registro devem ser impedidos quando houver falta de permissão do usuário solicitante.</w:t>
            </w:r>
          </w:p>
        </w:tc>
        <w:tc>
          <w:tcPr>
            <w:tcW w:w="2050" w:type="dxa"/>
            <w:vAlign w:val="center"/>
          </w:tcPr>
          <w:p w14:paraId="21816A3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7CD3C64B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Q5</w:t>
            </w:r>
          </w:p>
        </w:tc>
      </w:tr>
      <w:tr w:rsidR="00C14E04" w:rsidRPr="003A28C3" w14:paraId="2078911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2185AB7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RN-08</w:t>
            </w:r>
          </w:p>
        </w:tc>
        <w:tc>
          <w:tcPr>
            <w:tcW w:w="5100" w:type="dxa"/>
            <w:vAlign w:val="center"/>
          </w:tcPr>
          <w:p w14:paraId="2010C02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cadastro, a alteração ou a inativação de um registro devem ser impedidos quando campos obrigatórios não estiverem preenchidos ou os dados forem inválidos.</w:t>
            </w:r>
          </w:p>
        </w:tc>
        <w:tc>
          <w:tcPr>
            <w:tcW w:w="2050" w:type="dxa"/>
            <w:vAlign w:val="center"/>
          </w:tcPr>
          <w:p w14:paraId="3DA8D85C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</w:t>
            </w:r>
          </w:p>
        </w:tc>
        <w:tc>
          <w:tcPr>
            <w:tcW w:w="900" w:type="dxa"/>
            <w:vAlign w:val="center"/>
          </w:tcPr>
          <w:p w14:paraId="118117B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Q5</w:t>
            </w:r>
          </w:p>
        </w:tc>
      </w:tr>
      <w:tr w:rsidR="00C14E04" w:rsidRPr="003A28C3" w14:paraId="3C94DA9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C62FA9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RN-09</w:t>
            </w:r>
          </w:p>
        </w:tc>
        <w:tc>
          <w:tcPr>
            <w:tcW w:w="5100" w:type="dxa"/>
            <w:vAlign w:val="center"/>
          </w:tcPr>
          <w:p w14:paraId="0C35626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cadastro de um registro deve ser impedido quando configurar duplicidade de um dado que a empresa trata como único (ex.: CPF/CNPJ).</w:t>
            </w:r>
          </w:p>
        </w:tc>
        <w:tc>
          <w:tcPr>
            <w:tcW w:w="2050" w:type="dxa"/>
            <w:vAlign w:val="center"/>
          </w:tcPr>
          <w:p w14:paraId="770BFB0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</w:t>
            </w:r>
          </w:p>
        </w:tc>
        <w:tc>
          <w:tcPr>
            <w:tcW w:w="900" w:type="dxa"/>
            <w:vAlign w:val="center"/>
          </w:tcPr>
          <w:p w14:paraId="21AB1D6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Q5, Q12</w:t>
            </w:r>
          </w:p>
        </w:tc>
      </w:tr>
      <w:tr w:rsidR="00C14E04" w:rsidRPr="003A28C3" w14:paraId="6CC4220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35933763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RN-10</w:t>
            </w:r>
          </w:p>
        </w:tc>
        <w:tc>
          <w:tcPr>
            <w:tcW w:w="5100" w:type="dxa"/>
            <w:vAlign w:val="center"/>
          </w:tcPr>
          <w:p w14:paraId="6BC0AAF4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cadastro, a alteração ou a inativação de um registro devem ser impedidos quando existirem dependências ativas incompatíveis com a operação.</w:t>
            </w:r>
          </w:p>
        </w:tc>
        <w:tc>
          <w:tcPr>
            <w:tcW w:w="2050" w:type="dxa"/>
            <w:vAlign w:val="center"/>
          </w:tcPr>
          <w:p w14:paraId="596B323F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integridade/estado</w:t>
            </w:r>
          </w:p>
        </w:tc>
        <w:tc>
          <w:tcPr>
            <w:tcW w:w="900" w:type="dxa"/>
            <w:vAlign w:val="center"/>
          </w:tcPr>
          <w:p w14:paraId="0073926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Q5</w:t>
            </w:r>
          </w:p>
        </w:tc>
      </w:tr>
      <w:tr w:rsidR="00C14E04" w:rsidRPr="003A28C3" w14:paraId="45E05B0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3B5A519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RN-11</w:t>
            </w:r>
          </w:p>
        </w:tc>
        <w:tc>
          <w:tcPr>
            <w:tcW w:w="5100" w:type="dxa"/>
            <w:vAlign w:val="center"/>
          </w:tcPr>
          <w:p w14:paraId="12F9EF2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Somente o perfil Comercial pode criar ou alterar uma proposta comercial enquanto ela estiver em elaboração ou em negociação.</w:t>
            </w:r>
          </w:p>
        </w:tc>
        <w:tc>
          <w:tcPr>
            <w:tcW w:w="2050" w:type="dxa"/>
            <w:vAlign w:val="center"/>
          </w:tcPr>
          <w:p w14:paraId="195822A1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65353934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Q6</w:t>
            </w:r>
          </w:p>
        </w:tc>
      </w:tr>
      <w:tr w:rsidR="00C14E04" w:rsidRPr="003A28C3" w14:paraId="16D8CC8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B100A68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RN-12</w:t>
            </w:r>
          </w:p>
        </w:tc>
        <w:tc>
          <w:tcPr>
            <w:tcW w:w="5100" w:type="dxa"/>
            <w:vAlign w:val="center"/>
          </w:tcPr>
          <w:p w14:paraId="416C17D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A aprovação ou a rejeição de uma proposta é decisão do CLIENTE; Administrador e Gestor podem acompanhar e realizar ajustes autorizados, mas não substituem essa decisão.</w:t>
            </w:r>
          </w:p>
        </w:tc>
        <w:tc>
          <w:tcPr>
            <w:tcW w:w="2050" w:type="dxa"/>
            <w:vAlign w:val="center"/>
          </w:tcPr>
          <w:p w14:paraId="6ADB67B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Regra de processo/decisão</w:t>
            </w:r>
          </w:p>
        </w:tc>
        <w:tc>
          <w:tcPr>
            <w:tcW w:w="900" w:type="dxa"/>
            <w:vAlign w:val="center"/>
          </w:tcPr>
          <w:p w14:paraId="7E261AA3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Q6</w:t>
            </w:r>
          </w:p>
        </w:tc>
      </w:tr>
      <w:tr w:rsidR="00C14E04" w:rsidRPr="003A28C3" w14:paraId="0FE65A0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162B7E36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lastRenderedPageBreak/>
              <w:t>RN-13</w:t>
            </w:r>
          </w:p>
        </w:tc>
        <w:tc>
          <w:tcPr>
            <w:tcW w:w="5100" w:type="dxa"/>
            <w:vAlign w:val="center"/>
          </w:tcPr>
          <w:p w14:paraId="1D959A5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Administrador e Gestor podem criar, editar e reabrir qualquer TAREFA.</w:t>
            </w:r>
          </w:p>
        </w:tc>
        <w:tc>
          <w:tcPr>
            <w:tcW w:w="2050" w:type="dxa"/>
            <w:vAlign w:val="center"/>
          </w:tcPr>
          <w:p w14:paraId="0F4DA77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311F114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Q7</w:t>
            </w:r>
          </w:p>
        </w:tc>
      </w:tr>
      <w:tr w:rsidR="00C14E04" w:rsidRPr="003A28C3" w14:paraId="4981ADA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1317E5AE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RN-14</w:t>
            </w:r>
          </w:p>
        </w:tc>
        <w:tc>
          <w:tcPr>
            <w:tcW w:w="5100" w:type="dxa"/>
            <w:vAlign w:val="center"/>
          </w:tcPr>
          <w:p w14:paraId="16D30DB8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 xml:space="preserve">O Colaborador só pode atualizar, movimentar e concluir as </w:t>
            </w:r>
            <w:proofErr w:type="spellStart"/>
            <w:r w:rsidRPr="003A28C3">
              <w:rPr>
                <w:rFonts w:ascii="Arial" w:hAnsi="Arial" w:cs="Arial"/>
              </w:rPr>
              <w:t>TAREFAs</w:t>
            </w:r>
            <w:proofErr w:type="spellEnd"/>
            <w:r w:rsidRPr="003A28C3">
              <w:rPr>
                <w:rFonts w:ascii="Arial" w:hAnsi="Arial" w:cs="Arial"/>
              </w:rPr>
              <w:t xml:space="preserve"> às quais está atribuído.</w:t>
            </w:r>
          </w:p>
        </w:tc>
        <w:tc>
          <w:tcPr>
            <w:tcW w:w="2050" w:type="dxa"/>
            <w:vAlign w:val="center"/>
          </w:tcPr>
          <w:p w14:paraId="39C2069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638391E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Q7</w:t>
            </w:r>
          </w:p>
        </w:tc>
      </w:tr>
      <w:tr w:rsidR="00C14E04" w:rsidRPr="003A28C3" w14:paraId="3094F2A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0EEFABE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RN-15</w:t>
            </w:r>
          </w:p>
        </w:tc>
        <w:tc>
          <w:tcPr>
            <w:tcW w:w="5100" w:type="dxa"/>
            <w:vAlign w:val="center"/>
          </w:tcPr>
          <w:p w14:paraId="1BA1597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O acesso de visualização e de alteração de informações de cada módulo é determinado pela combinação do PERFIL do usuário com o vínculo dele com o registro.</w:t>
            </w:r>
          </w:p>
        </w:tc>
        <w:tc>
          <w:tcPr>
            <w:tcW w:w="2050" w:type="dxa"/>
            <w:vAlign w:val="center"/>
          </w:tcPr>
          <w:p w14:paraId="17F0E5D9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0FAE663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Q8</w:t>
            </w:r>
          </w:p>
        </w:tc>
      </w:tr>
      <w:tr w:rsidR="00C14E04" w:rsidRPr="003A28C3" w14:paraId="5D23BAA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5D2E996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RN-16</w:t>
            </w:r>
          </w:p>
        </w:tc>
        <w:tc>
          <w:tcPr>
            <w:tcW w:w="5100" w:type="dxa"/>
            <w:vAlign w:val="center"/>
          </w:tcPr>
          <w:p w14:paraId="5FBF29D4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Toda TAREFA ou PROJETO com prazo definido deve registrar a data em que a conclusão efetivamente ocorreu.</w:t>
            </w:r>
          </w:p>
        </w:tc>
        <w:tc>
          <w:tcPr>
            <w:tcW w:w="2050" w:type="dxa"/>
            <w:vAlign w:val="center"/>
          </w:tcPr>
          <w:p w14:paraId="43B49311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Governança/auditoria</w:t>
            </w:r>
          </w:p>
        </w:tc>
        <w:tc>
          <w:tcPr>
            <w:tcW w:w="900" w:type="dxa"/>
            <w:vAlign w:val="center"/>
          </w:tcPr>
          <w:p w14:paraId="017ABFFB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Q9</w:t>
            </w:r>
          </w:p>
        </w:tc>
      </w:tr>
      <w:tr w:rsidR="00C14E04" w:rsidRPr="003A28C3" w14:paraId="1AF9A1C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3EBB800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RN-17</w:t>
            </w:r>
          </w:p>
        </w:tc>
        <w:tc>
          <w:tcPr>
            <w:tcW w:w="5100" w:type="dxa"/>
            <w:vAlign w:val="center"/>
          </w:tcPr>
          <w:p w14:paraId="3A2BE4D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Itens próximos do prazo ou já atrasados devem ser sinalizados visualmente ao usuário.</w:t>
            </w:r>
          </w:p>
        </w:tc>
        <w:tc>
          <w:tcPr>
            <w:tcW w:w="2050" w:type="dxa"/>
            <w:vAlign w:val="center"/>
          </w:tcPr>
          <w:p w14:paraId="40F7B4F9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Regra de processo/decisão</w:t>
            </w:r>
          </w:p>
        </w:tc>
        <w:tc>
          <w:tcPr>
            <w:tcW w:w="900" w:type="dxa"/>
            <w:vAlign w:val="center"/>
          </w:tcPr>
          <w:p w14:paraId="79E68141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Q9</w:t>
            </w:r>
          </w:p>
        </w:tc>
      </w:tr>
      <w:tr w:rsidR="00C14E04" w:rsidRPr="003A28C3" w14:paraId="18E5C68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75C06991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RN-18</w:t>
            </w:r>
          </w:p>
        </w:tc>
        <w:tc>
          <w:tcPr>
            <w:tcW w:w="5100" w:type="dxa"/>
            <w:vAlign w:val="center"/>
          </w:tcPr>
          <w:p w14:paraId="719EDFC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Uma TAREFA é considerada atrasada quando ultrapassa o prazo estabelecido sem estar concluída.</w:t>
            </w:r>
          </w:p>
        </w:tc>
        <w:tc>
          <w:tcPr>
            <w:tcW w:w="2050" w:type="dxa"/>
            <w:vAlign w:val="center"/>
          </w:tcPr>
          <w:p w14:paraId="76FCACB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Definição/critério</w:t>
            </w:r>
          </w:p>
        </w:tc>
        <w:tc>
          <w:tcPr>
            <w:tcW w:w="900" w:type="dxa"/>
            <w:vAlign w:val="center"/>
          </w:tcPr>
          <w:p w14:paraId="5679C775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Q10</w:t>
            </w:r>
          </w:p>
        </w:tc>
      </w:tr>
      <w:tr w:rsidR="00C14E04" w:rsidRPr="003A28C3" w14:paraId="4551E00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1FDAF3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RN-19</w:t>
            </w:r>
          </w:p>
        </w:tc>
        <w:tc>
          <w:tcPr>
            <w:tcW w:w="5100" w:type="dxa"/>
            <w:vAlign w:val="center"/>
          </w:tcPr>
          <w:p w14:paraId="3C369A3B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 xml:space="preserve">Um PROJETO é considerado atrasado quando ultrapassa a data final prevista sem estar concluído; se dentro do </w:t>
            </w:r>
            <w:proofErr w:type="gramStart"/>
            <w:r w:rsidRPr="003A28C3">
              <w:rPr>
                <w:rFonts w:ascii="Arial" w:hAnsi="Arial" w:cs="Arial"/>
              </w:rPr>
              <w:t>prazo</w:t>
            </w:r>
            <w:proofErr w:type="gramEnd"/>
            <w:r w:rsidRPr="003A28C3">
              <w:rPr>
                <w:rFonts w:ascii="Arial" w:hAnsi="Arial" w:cs="Arial"/>
              </w:rPr>
              <w:t xml:space="preserve"> mas com </w:t>
            </w:r>
            <w:proofErr w:type="spellStart"/>
            <w:r w:rsidRPr="003A28C3">
              <w:rPr>
                <w:rFonts w:ascii="Arial" w:hAnsi="Arial" w:cs="Arial"/>
              </w:rPr>
              <w:t>TAREFAs</w:t>
            </w:r>
            <w:proofErr w:type="spellEnd"/>
            <w:r w:rsidRPr="003A28C3">
              <w:rPr>
                <w:rFonts w:ascii="Arial" w:hAnsi="Arial" w:cs="Arial"/>
              </w:rPr>
              <w:t xml:space="preserve"> atrasadas, deve ser sinalizado como projeto em risco.</w:t>
            </w:r>
          </w:p>
        </w:tc>
        <w:tc>
          <w:tcPr>
            <w:tcW w:w="2050" w:type="dxa"/>
            <w:vAlign w:val="center"/>
          </w:tcPr>
          <w:p w14:paraId="15C7A274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Definição/critério</w:t>
            </w:r>
          </w:p>
        </w:tc>
        <w:tc>
          <w:tcPr>
            <w:tcW w:w="900" w:type="dxa"/>
            <w:vAlign w:val="center"/>
          </w:tcPr>
          <w:p w14:paraId="26AFE78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Q10</w:t>
            </w:r>
          </w:p>
        </w:tc>
      </w:tr>
      <w:tr w:rsidR="00C14E04" w:rsidRPr="003A28C3" w14:paraId="5E06BDF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710CA9BC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RN-20</w:t>
            </w:r>
          </w:p>
        </w:tc>
        <w:tc>
          <w:tcPr>
            <w:tcW w:w="5100" w:type="dxa"/>
            <w:vAlign w:val="center"/>
          </w:tcPr>
          <w:p w14:paraId="0DD883C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A conversão de LEAD em CLIENTE só ocorre mediante confirmação da contratação ou aprovação de proposta, reaproveitando os dados já cadastrados no lead.</w:t>
            </w:r>
          </w:p>
        </w:tc>
        <w:tc>
          <w:tcPr>
            <w:tcW w:w="2050" w:type="dxa"/>
            <w:vAlign w:val="center"/>
          </w:tcPr>
          <w:p w14:paraId="4644A4D7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Regra de processo/decisão</w:t>
            </w:r>
          </w:p>
        </w:tc>
        <w:tc>
          <w:tcPr>
            <w:tcW w:w="900" w:type="dxa"/>
            <w:vAlign w:val="center"/>
          </w:tcPr>
          <w:p w14:paraId="52749862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Q11</w:t>
            </w:r>
          </w:p>
        </w:tc>
      </w:tr>
      <w:tr w:rsidR="00C14E04" w:rsidRPr="003A28C3" w14:paraId="091A00E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3B3A3AC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RN-21</w:t>
            </w:r>
          </w:p>
        </w:tc>
        <w:tc>
          <w:tcPr>
            <w:tcW w:w="5100" w:type="dxa"/>
            <w:vAlign w:val="center"/>
          </w:tcPr>
          <w:p w14:paraId="5D9AD4A0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CPF e CNPJ não podem se repetir entre CLIENTES; para LEAD, o sistema deve alertar sobre possível duplicidade (e-mail, telefone ou empresa) antes da criação de um novo registro.</w:t>
            </w:r>
          </w:p>
        </w:tc>
        <w:tc>
          <w:tcPr>
            <w:tcW w:w="2050" w:type="dxa"/>
            <w:vAlign w:val="center"/>
          </w:tcPr>
          <w:p w14:paraId="17DBE17C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integridade</w:t>
            </w:r>
          </w:p>
        </w:tc>
        <w:tc>
          <w:tcPr>
            <w:tcW w:w="900" w:type="dxa"/>
            <w:vAlign w:val="center"/>
          </w:tcPr>
          <w:p w14:paraId="6965FFF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Q12</w:t>
            </w:r>
          </w:p>
        </w:tc>
      </w:tr>
      <w:tr w:rsidR="00C14E04" w:rsidRPr="003A28C3" w14:paraId="6DE7C6C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vAlign w:val="center"/>
          </w:tcPr>
          <w:p w14:paraId="45A2352D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RN-22</w:t>
            </w:r>
          </w:p>
        </w:tc>
        <w:tc>
          <w:tcPr>
            <w:tcW w:w="5100" w:type="dxa"/>
            <w:vAlign w:val="center"/>
          </w:tcPr>
          <w:p w14:paraId="7ADED836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Somente usuários autorizados e vinculados ao atendimento ou ao projeto podem se comunicar diretamente com o cliente pelo sistema; notas internas nunca devem ser exibidas ao cliente.</w:t>
            </w:r>
          </w:p>
        </w:tc>
        <w:tc>
          <w:tcPr>
            <w:tcW w:w="2050" w:type="dxa"/>
            <w:vAlign w:val="center"/>
          </w:tcPr>
          <w:p w14:paraId="521979CA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Restrição de acesso</w:t>
            </w:r>
          </w:p>
        </w:tc>
        <w:tc>
          <w:tcPr>
            <w:tcW w:w="900" w:type="dxa"/>
            <w:vAlign w:val="center"/>
          </w:tcPr>
          <w:p w14:paraId="3662230F" w14:textId="77777777" w:rsidR="00C14E04" w:rsidRPr="003A28C3" w:rsidRDefault="00000000">
            <w:pPr>
              <w:spacing w:after="60"/>
              <w:rPr>
                <w:rFonts w:ascii="Arial" w:hAnsi="Arial" w:cs="Arial"/>
              </w:rPr>
            </w:pPr>
            <w:r w:rsidRPr="003A28C3">
              <w:rPr>
                <w:rFonts w:ascii="Arial" w:hAnsi="Arial" w:cs="Arial"/>
              </w:rPr>
              <w:t>Q15</w:t>
            </w:r>
          </w:p>
        </w:tc>
      </w:tr>
    </w:tbl>
    <w:p w14:paraId="6FC168FA" w14:textId="77777777" w:rsidR="00C14E04" w:rsidRPr="003A28C3" w:rsidRDefault="00000000">
      <w:pPr>
        <w:spacing w:after="300"/>
        <w:rPr>
          <w:rFonts w:ascii="Arial" w:hAnsi="Arial" w:cs="Arial"/>
        </w:rPr>
      </w:pPr>
      <w:r w:rsidRPr="003A28C3">
        <w:rPr>
          <w:rFonts w:ascii="Arial" w:hAnsi="Arial" w:cs="Arial"/>
          <w:i/>
          <w:iCs/>
          <w:sz w:val="18"/>
          <w:szCs w:val="18"/>
        </w:rPr>
        <w:t>Fonte: elaborado pelos autores a partir das respostas da Cristal UP! ao questionário de regras de negócio (2026).</w:t>
      </w:r>
    </w:p>
    <w:p w14:paraId="69E530EF" w14:textId="77777777" w:rsidR="00C14E04" w:rsidRPr="003A28C3" w:rsidRDefault="00000000">
      <w:pPr>
        <w:spacing w:after="200" w:line="360" w:lineRule="auto"/>
        <w:jc w:val="both"/>
        <w:rPr>
          <w:rFonts w:ascii="Arial" w:hAnsi="Arial" w:cs="Arial"/>
        </w:rPr>
      </w:pPr>
      <w:r w:rsidRPr="003A28C3">
        <w:rPr>
          <w:rFonts w:ascii="Arial" w:hAnsi="Arial" w:cs="Arial"/>
          <w:sz w:val="24"/>
          <w:szCs w:val="24"/>
        </w:rPr>
        <w:t>Observação: seis destas regras (RN-05, RN-11, RN-12, RN-16, RN-21 parcialmente e RN-22) ainda dependem de decisões de escopo pendentes — em especial a definição sobre a existência de uma entidade PROPOSTA/FATURAMENTO e sobre o acesso do perfil Cliente ao sistema — registradas no documento "Levantamento e numeração das regras de negócio" já produzido para este card.</w:t>
      </w:r>
    </w:p>
    <w:p w14:paraId="1893333E" w14:textId="77777777" w:rsidR="00C14E04" w:rsidRDefault="00000000">
      <w:pPr>
        <w:pStyle w:val="Ttulo1"/>
        <w:spacing w:before="300" w:after="200"/>
      </w:pPr>
      <w:r>
        <w:rPr>
          <w:b/>
          <w:bCs/>
          <w:sz w:val="26"/>
          <w:szCs w:val="26"/>
        </w:rPr>
        <w:t>REFERÊNCIAS</w:t>
      </w:r>
    </w:p>
    <w:p w14:paraId="62219302" w14:textId="77777777" w:rsidR="00C14E04" w:rsidRDefault="00000000">
      <w:pPr>
        <w:spacing w:after="240" w:line="276" w:lineRule="auto"/>
      </w:pPr>
      <w:r>
        <w:rPr>
          <w:sz w:val="24"/>
          <w:szCs w:val="24"/>
        </w:rPr>
        <w:t xml:space="preserve">BUSINESS RULES GROUP. </w:t>
      </w:r>
      <w:r>
        <w:rPr>
          <w:i/>
          <w:iCs/>
          <w:sz w:val="24"/>
          <w:szCs w:val="24"/>
        </w:rPr>
        <w:t xml:space="preserve">Business </w:t>
      </w:r>
      <w:proofErr w:type="spellStart"/>
      <w:r>
        <w:rPr>
          <w:i/>
          <w:iCs/>
          <w:sz w:val="24"/>
          <w:szCs w:val="24"/>
        </w:rPr>
        <w:t>Rules</w:t>
      </w:r>
      <w:proofErr w:type="spellEnd"/>
      <w:r>
        <w:rPr>
          <w:i/>
          <w:iCs/>
          <w:sz w:val="24"/>
          <w:szCs w:val="24"/>
        </w:rPr>
        <w:t xml:space="preserve"> Manifesto.</w:t>
      </w:r>
      <w:r>
        <w:rPr>
          <w:sz w:val="24"/>
          <w:szCs w:val="24"/>
        </w:rPr>
        <w:t xml:space="preserve"> Release 2.0. [S. l.]: Business </w:t>
      </w:r>
      <w:proofErr w:type="spellStart"/>
      <w:r>
        <w:rPr>
          <w:sz w:val="24"/>
          <w:szCs w:val="24"/>
        </w:rPr>
        <w:t>Rules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</w:t>
      </w:r>
      <w:proofErr w:type="spellEnd"/>
      <w:r>
        <w:rPr>
          <w:sz w:val="24"/>
          <w:szCs w:val="24"/>
        </w:rPr>
        <w:t>, 2003. Disponível em: http://www.businessrulesgroup.org/brmanifesto.htm. Acesso em: 29 ago. 2026.</w:t>
      </w:r>
    </w:p>
    <w:p w14:paraId="3D11AA7D" w14:textId="77777777" w:rsidR="00C14E04" w:rsidRDefault="00000000">
      <w:pPr>
        <w:spacing w:after="240" w:line="276" w:lineRule="auto"/>
      </w:pPr>
      <w:r>
        <w:rPr>
          <w:sz w:val="24"/>
          <w:szCs w:val="24"/>
        </w:rPr>
        <w:t xml:space="preserve">INTERNATIONAL INSTITUTE OF BUSINESS ANALYSIS (IIBA). </w:t>
      </w:r>
      <w:r>
        <w:rPr>
          <w:i/>
          <w:iCs/>
          <w:sz w:val="24"/>
          <w:szCs w:val="24"/>
        </w:rPr>
        <w:t xml:space="preserve">A </w:t>
      </w:r>
      <w:proofErr w:type="spellStart"/>
      <w:r>
        <w:rPr>
          <w:i/>
          <w:iCs/>
          <w:sz w:val="24"/>
          <w:szCs w:val="24"/>
        </w:rPr>
        <w:t>Guide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</w:t>
      </w:r>
      <w:proofErr w:type="spellEnd"/>
      <w:r>
        <w:rPr>
          <w:i/>
          <w:iCs/>
          <w:sz w:val="24"/>
          <w:szCs w:val="24"/>
        </w:rPr>
        <w:t xml:space="preserve"> Business </w:t>
      </w:r>
      <w:proofErr w:type="spellStart"/>
      <w:r>
        <w:rPr>
          <w:i/>
          <w:iCs/>
          <w:sz w:val="24"/>
          <w:szCs w:val="24"/>
        </w:rPr>
        <w:t>Analysis</w:t>
      </w:r>
      <w:proofErr w:type="spellEnd"/>
      <w:r>
        <w:rPr>
          <w:i/>
          <w:iCs/>
          <w:sz w:val="24"/>
          <w:szCs w:val="24"/>
        </w:rPr>
        <w:t xml:space="preserve"> Body </w:t>
      </w:r>
      <w:proofErr w:type="spellStart"/>
      <w:r>
        <w:rPr>
          <w:i/>
          <w:iCs/>
          <w:sz w:val="24"/>
          <w:szCs w:val="24"/>
        </w:rPr>
        <w:t>of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Knowledge</w:t>
      </w:r>
      <w:proofErr w:type="spellEnd"/>
      <w:r>
        <w:rPr>
          <w:i/>
          <w:iCs/>
          <w:sz w:val="24"/>
          <w:szCs w:val="24"/>
        </w:rPr>
        <w:t xml:space="preserve"> (BABOK </w:t>
      </w:r>
      <w:proofErr w:type="spellStart"/>
      <w:r>
        <w:rPr>
          <w:i/>
          <w:iCs/>
          <w:sz w:val="24"/>
          <w:szCs w:val="24"/>
        </w:rPr>
        <w:t>Guide</w:t>
      </w:r>
      <w:proofErr w:type="spellEnd"/>
      <w:r>
        <w:rPr>
          <w:i/>
          <w:iCs/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Version</w:t>
      </w:r>
      <w:proofErr w:type="spellEnd"/>
      <w:r>
        <w:rPr>
          <w:sz w:val="24"/>
          <w:szCs w:val="24"/>
        </w:rPr>
        <w:t xml:space="preserve"> 3.0. Toronto: IIBA, 2015.</w:t>
      </w:r>
    </w:p>
    <w:p w14:paraId="69C6536D" w14:textId="77777777" w:rsidR="00C14E04" w:rsidRDefault="00000000">
      <w:pPr>
        <w:spacing w:after="240" w:line="276" w:lineRule="auto"/>
      </w:pPr>
      <w:r>
        <w:rPr>
          <w:sz w:val="24"/>
          <w:szCs w:val="24"/>
        </w:rPr>
        <w:t xml:space="preserve">ROSS, Ronald G. </w:t>
      </w:r>
      <w:proofErr w:type="spellStart"/>
      <w:r>
        <w:rPr>
          <w:i/>
          <w:iCs/>
          <w:sz w:val="24"/>
          <w:szCs w:val="24"/>
        </w:rPr>
        <w:t>Principles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of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</w:t>
      </w:r>
      <w:proofErr w:type="spellEnd"/>
      <w:r>
        <w:rPr>
          <w:i/>
          <w:iCs/>
          <w:sz w:val="24"/>
          <w:szCs w:val="24"/>
        </w:rPr>
        <w:t xml:space="preserve"> Business Rule Approach.</w:t>
      </w:r>
      <w:r>
        <w:rPr>
          <w:sz w:val="24"/>
          <w:szCs w:val="24"/>
        </w:rPr>
        <w:t xml:space="preserve"> Boston: Addison-Wesley, 2003.</w:t>
      </w:r>
    </w:p>
    <w:sectPr w:rsidR="00C14E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712B3"/>
    <w:multiLevelType w:val="hybridMultilevel"/>
    <w:tmpl w:val="1564ED80"/>
    <w:lvl w:ilvl="0" w:tplc="EB803FD2">
      <w:start w:val="1"/>
      <w:numFmt w:val="bullet"/>
      <w:lvlText w:val="●"/>
      <w:lvlJc w:val="left"/>
      <w:pPr>
        <w:ind w:left="720" w:hanging="360"/>
      </w:pPr>
    </w:lvl>
    <w:lvl w:ilvl="1" w:tplc="B72EF0E8">
      <w:start w:val="1"/>
      <w:numFmt w:val="bullet"/>
      <w:lvlText w:val="○"/>
      <w:lvlJc w:val="left"/>
      <w:pPr>
        <w:ind w:left="1440" w:hanging="360"/>
      </w:pPr>
    </w:lvl>
    <w:lvl w:ilvl="2" w:tplc="84764100">
      <w:start w:val="1"/>
      <w:numFmt w:val="bullet"/>
      <w:lvlText w:val="■"/>
      <w:lvlJc w:val="left"/>
      <w:pPr>
        <w:ind w:left="2160" w:hanging="360"/>
      </w:pPr>
    </w:lvl>
    <w:lvl w:ilvl="3" w:tplc="FD0C76BE">
      <w:start w:val="1"/>
      <w:numFmt w:val="bullet"/>
      <w:lvlText w:val="●"/>
      <w:lvlJc w:val="left"/>
      <w:pPr>
        <w:ind w:left="2880" w:hanging="360"/>
      </w:pPr>
    </w:lvl>
    <w:lvl w:ilvl="4" w:tplc="C590D23E">
      <w:start w:val="1"/>
      <w:numFmt w:val="bullet"/>
      <w:lvlText w:val="○"/>
      <w:lvlJc w:val="left"/>
      <w:pPr>
        <w:ind w:left="3600" w:hanging="360"/>
      </w:pPr>
    </w:lvl>
    <w:lvl w:ilvl="5" w:tplc="1EFAC8BC">
      <w:start w:val="1"/>
      <w:numFmt w:val="bullet"/>
      <w:lvlText w:val="■"/>
      <w:lvlJc w:val="left"/>
      <w:pPr>
        <w:ind w:left="4320" w:hanging="360"/>
      </w:pPr>
    </w:lvl>
    <w:lvl w:ilvl="6" w:tplc="707E0422">
      <w:start w:val="1"/>
      <w:numFmt w:val="bullet"/>
      <w:lvlText w:val="●"/>
      <w:lvlJc w:val="left"/>
      <w:pPr>
        <w:ind w:left="5040" w:hanging="360"/>
      </w:pPr>
    </w:lvl>
    <w:lvl w:ilvl="7" w:tplc="D1D45E42">
      <w:start w:val="1"/>
      <w:numFmt w:val="bullet"/>
      <w:lvlText w:val="●"/>
      <w:lvlJc w:val="left"/>
      <w:pPr>
        <w:ind w:left="5760" w:hanging="360"/>
      </w:pPr>
    </w:lvl>
    <w:lvl w:ilvl="8" w:tplc="9BDCB776">
      <w:start w:val="1"/>
      <w:numFmt w:val="bullet"/>
      <w:lvlText w:val="●"/>
      <w:lvlJc w:val="left"/>
      <w:pPr>
        <w:ind w:left="6480" w:hanging="360"/>
      </w:pPr>
    </w:lvl>
  </w:abstractNum>
  <w:num w:numId="1" w16cid:durableId="600259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E04"/>
    <w:rsid w:val="003A28C3"/>
    <w:rsid w:val="005C5A7E"/>
    <w:rsid w:val="00C14E04"/>
    <w:rsid w:val="00ED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BE618"/>
  <w15:docId w15:val="{6BD3FA29-1EC5-4E20-BC63-C8AD08F5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1070</Words>
  <Characters>6420</Characters>
  <Application>Microsoft Office Word</Application>
  <DocSecurity>0</DocSecurity>
  <Lines>214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Souza Almeida REIS</cp:lastModifiedBy>
  <cp:revision>3</cp:revision>
  <dcterms:created xsi:type="dcterms:W3CDTF">2026-08-29T19:30:00Z</dcterms:created>
  <dcterms:modified xsi:type="dcterms:W3CDTF">2026-08-29T21:31:00Z</dcterms:modified>
</cp:coreProperties>
</file>