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9D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60" w:before="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7. CASOS DE USO </w:t>
      </w:r>
      <w:r>
        <w:rPr>
          <w:rFonts w:ascii="Arial" w:hAnsi="Arial" w:eastAsia="Arial" w:cs="Arial"/>
          <w:b/>
          <w:color w:val="000000"/>
          <w:sz w:val="24"/>
          <w:highlight w:val="none"/>
        </w:rPr>
        <w:t xml:space="preserve"> </w:t>
      </w:r>
      <w:r/>
    </w:p>
    <w:p w14:paraId="01215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7.1. Diagrama Geral de Casos de Usos</w:t>
      </w:r>
      <w:r>
        <w:rPr>
          <w:rFonts w:ascii="Arial" w:hAnsi="Arial" w:eastAsia="Arial" w:cs="Arial"/>
          <w:b/>
          <w:color w:val="000000"/>
          <w:sz w:val="24"/>
          <w:highlight w:val="none"/>
        </w:rPr>
        <w:t xml:space="preserve"> </w:t>
      </w:r>
      <w:r/>
    </w:p>
    <w:p w14:paraId="435E5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60" w:before="0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Figura 1 - Diagrama de Casos de Uso </w:t>
      </w:r>
      <w:r>
        <w:rPr>
          <w:rFonts w:ascii="Arial" w:hAnsi="Arial" w:eastAsia="Arial" w:cs="Arial"/>
          <w:color w:val="000000"/>
          <w:sz w:val="20"/>
          <w:highlight w:val="none"/>
        </w:rPr>
        <w:t xml:space="preserve"> </w:t>
      </w:r>
      <w:r/>
    </w:p>
    <w:p w14:paraId="15F3E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5124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2414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19624" cy="5124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3.75pt;height:403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 </w:t>
      </w:r>
      <w:r/>
    </w:p>
    <w:p w14:paraId="352AB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Fonte: elaborado pelos próprios autores (2026)</w:t>
      </w:r>
      <w:r>
        <w:rPr>
          <w:rFonts w:ascii="Arial" w:hAnsi="Arial" w:eastAsia="Arial" w:cs="Arial"/>
          <w:color w:val="000000"/>
          <w:sz w:val="20"/>
          <w:highlight w:val="none"/>
        </w:rPr>
        <w:t xml:space="preserve"> </w:t>
      </w:r>
      <w:r/>
    </w:p>
    <w:p w14:paraId="41611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 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2026-10-02T03:08:28Z</dcterms:modified>
</cp:coreProperties>
</file>