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1C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60" w:before="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7. CASOS DE USO </w:t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  <w:r/>
    </w:p>
    <w:p w14:paraId="0A26F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240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7.1. Diagrama Geral de Casos de Usos</w:t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  <w:r/>
    </w:p>
    <w:p w14:paraId="473D51C4">
      <w:pPr>
        <w:pBdr/>
        <w:spacing/>
        <w:ind/>
        <w:jc w:val="center"/>
        <w:rPr/>
      </w:pPr>
      <w:r>
        <w:rPr>
          <w:rFonts w:ascii="Arial" w:hAnsi="Arial" w:eastAsia="Arial" w:cs="Arial"/>
          <w:color w:val="000000"/>
          <w:sz w:val="20"/>
          <w:highlight w:val="none"/>
        </w:rPr>
      </w:r>
      <w:r>
        <w:rPr>
          <w:rFonts w:ascii="Arial" w:hAnsi="Arial" w:eastAsia="Arial" w:cs="Arial"/>
          <w:color w:val="000000"/>
          <w:sz w:val="20"/>
          <w:highlight w:val="none"/>
        </w:rPr>
      </w:r>
      <w:r>
        <w:rPr>
          <w:rFonts w:ascii="Arial" w:hAnsi="Arial" w:eastAsia="Arial" w:cs="Arial"/>
          <w:color w:val="000000"/>
          <w:sz w:val="20"/>
          <w:highlight w:val="none"/>
        </w:rPr>
      </w:r>
    </w:p>
    <w:p w14:paraId="0AC1AAF5">
      <w:pPr>
        <w:pBdr/>
        <w:spacing/>
        <w:ind/>
        <w:jc w:val="center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Arial" w:hAnsi="Arial" w:eastAsia="Arial" w:cs="Arial"/>
          <w:color w:val="000000"/>
          <w:sz w:val="20"/>
          <w:highlight w:val="white"/>
        </w:rPr>
        <w:t xml:space="preserve">Figura 1 - Diagrama de Casos de Uso 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59089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0382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400039" cy="5908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465.2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0"/>
          <w:highlight w:val="white"/>
        </w:rPr>
        <w:t xml:space="preserve">Fonte: elaborado pelos próprios autores (2026)</w:t>
      </w:r>
      <w:r/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2026-10-04T22:09:09Z</dcterms:modified>
</cp:coreProperties>
</file>