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/>
          <w:b/>
          <w:sz w:val="28"/>
        </w:rPr>
        <w:t xml:space="preserve">MODELO DE DADOS: ENTIDADES, CHAVES E CARDINALIDADES</w:t>
      </w:r>
      <w:r/>
    </w:p>
    <w:p>
      <w:pPr>
        <w:pBdr/>
        <w:spacing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estruturação do modelo de dados da NexusDev Platform foi realizada a partir dos requisitos funcionais, das regras de negócio e das entidades já identificad</w:t>
      </w:r>
      <w:r>
        <w:rPr>
          <w:sz w:val="24"/>
          <w:szCs w:val="24"/>
        </w:rPr>
        <w:t xml:space="preserve">as ao longo do levantamento. Essa etapa organiza as informações que deverão ser persistidas no banco de dados e estabelece, de forma objetiva, quais entidades compõem a solução, quais atributos precisam ser armazenados e como esses registros se relacionam.</w:t>
      </w:r>
      <w:r>
        <w:rPr>
          <w:sz w:val="24"/>
          <w:szCs w:val="24"/>
        </w:rPr>
      </w:r>
    </w:p>
    <w:p>
      <w:pPr>
        <w:pBdr/>
        <w:spacing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modelagem mantém a divisão funcional já adotada no projeto: acesso e usuários, CRM e comercial, gestão de projetos em Kanban e solicitações/atendimento. Entre as entidades centrais estão USUARIO, LEAD, CLIENTE, PROJETO, QUADRO, COLUNA, TAREFA e SOLICIT</w:t>
      </w:r>
      <w:r>
        <w:rPr>
          <w:sz w:val="24"/>
          <w:szCs w:val="24"/>
        </w:rPr>
        <w:t xml:space="preserve">ACAO, além das entidades de apoio e parametrização necessárias para preservar a configurabilidade da plataforma. Dessa forma, o modelo de dados permanece coerente com os requisitos já documentados e com a proposta de um produto reutilizável e configurável.</w:t>
      </w:r>
      <w:r>
        <w:rPr>
          <w:sz w:val="24"/>
          <w:szCs w:val="24"/>
        </w:rPr>
      </w:r>
    </w:p>
    <w:p>
      <w:pPr>
        <w:pBdr/>
        <w:spacing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definição das chaves primárias, chaves estrangeiras e cardinalidades permite transformar essa estrutura conceitual em uma base relacional consistente. O Diagrama Entidade-Relacionamento (DER) representa graficamente</w:t>
      </w:r>
      <w:r>
        <w:rPr>
          <w:sz w:val="24"/>
          <w:szCs w:val="24"/>
        </w:rPr>
        <w:t xml:space="preserve"> essas definições e demonstra como os dados do CRM se conectam à gestão de projetos e ao atendimento. O DER, portanto, constitui a referência para a implementação das tabelas no MySQL e para a manutenção da integridade e da rastreabilidade das informações.</w:t>
      </w:r>
      <w:r>
        <w:rPr>
          <w:sz w:val="24"/>
          <w:szCs w:val="24"/>
        </w:rPr>
      </w:r>
    </w:p>
    <w:p>
      <w:pPr>
        <w:pStyle w:val="693"/>
        <w:pBdr/>
        <w:spacing w:after="80" w:before="160"/>
        <w:ind/>
        <w:jc w:val="center"/>
        <w:rPr>
          <w:rFonts w:ascii="Arial" w:hAnsi="Arial" w:cs="Arial"/>
          <w:b w:val="0"/>
          <w:bCs w:val="0"/>
          <w:color w:val="000000" w:themeColor="text1"/>
          <w:sz w:val="20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  <w:lang w:val="pt-BR"/>
        </w:rPr>
        <w:t xml:space="preserve">Tabela 4 -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</w:rPr>
        <w:t xml:space="preserve"> Padrões adotados no modelo de dados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Elemento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Padrão adotado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Aplicação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Observação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Chave primária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UUID / CHAR(36)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Entidades persistentes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Identificador único gerado pela aplicação.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Chave estrangeira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UUID / CHAR(36)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Relacionamentos entre entidades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Referencia a chave primária da entidade relacionada.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Textos curtos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VARCHAR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Nome, e-mail, título, status parametrizado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Tamanho definido conforme o campo.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Textos extensos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TEXT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Descrição, observações e histórico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Usado quando o conteúdo não possui tamanho curto previsível.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Valores monetários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DECIMAL(12,2)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PROPOSTA e PROJETO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Evita imprecisão de ponto flutuante.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Datas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DATE / DATETIME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Prazos, criação, atualização e eventos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DATETIME quando horário também precisa ser registrado.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Auditoria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criado_em, atualizado_em, criado_por, atualizado_por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Entidades operacionais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Mantém rastreabilidade das alterações.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Exclusão lógica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ativo / excluido_em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e cadastros parametrizáveis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Preserva histórico e vínculos existentes.</w:t>
            </w:r>
            <w:r>
              <w:rPr>
                <w:sz w:val="20"/>
                <w:szCs w:val="20"/>
              </w:rPr>
            </w:r>
          </w:p>
        </w:tc>
      </w:tr>
    </w:tbl>
    <w:p w14:paraId="3D7BB2C9">
      <w:pPr>
        <w:pBdr/>
        <w:spacing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9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O quadro a seguir apresenta somente os elementos essenciais de cada entidade. Os campos de auditoria são considerados comuns às entidades operacionais e, por isso, não são repetidos individualmente.</w:t>
      </w:r>
      <w:r>
        <w:rPr>
          <w:sz w:val="24"/>
          <w:szCs w:val="24"/>
        </w:rPr>
      </w:r>
    </w:p>
    <w:p w14:paraId="2B22C814">
      <w:pPr>
        <w:pStyle w:val="693"/>
        <w:pBdr/>
        <w:spacing w:after="80" w:before="160"/>
        <w:ind/>
        <w:jc w:val="center"/>
        <w:rPr>
          <w:rFonts w:ascii="Arial" w:hAnsi="Arial" w:cs="Arial"/>
          <w:b w:val="0"/>
          <w:bCs w:val="0"/>
          <w:color w:val="000000" w:themeColor="text1"/>
          <w:sz w:val="20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  <w:lang w:val="pt-BR"/>
        </w:rPr>
        <w:t xml:space="preserve">Tabela 5 -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</w:rPr>
        <w:t xml:space="preserve">Catálogo das entidades</w:t>
      </w:r>
      <w:r>
        <w:rPr>
          <w:rFonts w:ascii="Arial" w:hAnsi="Arial" w:eastAsia="Arial" w:cs="Arial"/>
          <w:b w:val="0"/>
          <w:bCs w:val="0"/>
          <w:sz w:val="20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shd w:val="clear" w:color="auto" w:fill="d9e2f3"/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Módulo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Entidade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Atributos principais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Chaves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2f3"/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Finalidade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Acesso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USUARIO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nome, email, senha_hash, status/perfis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Responsáveis, autoria e controle de acesso.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ETAPA_FUNIL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nome, tipo, ordem, ativo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Parametriza as etapas do funil.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LEAD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nome, email, telefone, empresa, origem, etapa_funil_id, responsavel_id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etapa_funil_id, responsavel_id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Potencial cliente e negociação comercial.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INTERACAO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tipo, data, assunto, descricao, usuario_id, lead_id/cliente_id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Histórico de contatos.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tipo_pessoa, cpf_cnpj, razao_social/nome, endereco, lead_origem_id, ativo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lead_origem_id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 convertido ou cadastrado diretamente.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CONTATO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cliente_id, nome, email, telefone, cargo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cliente_id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Pessoa vinculada ao CLIENTE.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lead_id, numero, valor_total, status, validade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lead_id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Proposta vinculada à negociação.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ITEM_PROPOSTA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proposta_id, descricao, quantidade, valor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proposta_id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Itens que compõem a proposta.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STATUS_PROJETO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nome, ordem, ativo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Status configurável do PROJETO.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cliente_id, responsavel_id, status_id, nome, descricao, inicio, prazo, valor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Unidade central da gestão de projetos.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PROJETO_USUARIO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projeto_id, usuario_id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 composta | FKs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Entidade associativa para equipe N:N.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Kanban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QUADRO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projeto_id, nome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projeto_id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Quadro Kanban do PROJETO.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Kanban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COLUNA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quadro_id, nome, ordem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quadro_id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Etapas configuráveis do QUADRO.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Kanban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projeto_id, coluna_id, responsavel_id, titulo, descricao, prioridade, prazo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Unidade de trabalho do PROJETO.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Kanban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tarefa_id, usuario_id, texto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Registro textual associado à TAREFA.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Kanban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ANEXO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tarefa_id, nome_arquivo, caminho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tarefa_id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Funcionalidade condicional ao prazo do MVP.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Atendimento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CATEGORIA_SOLICITACAO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nome, ativo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Categoria configurável da demanda.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Atendimento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PRIORIDADE_SOLICITACAO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nome, prazos/SLA, ativo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Prioridade configurável.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Atendimento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SOLICITACAO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cliente_id, projeto_id, categoria_id, prioridade_id, responsavel_id, protocolo, status, descricao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Demanda de atendimento do CLIENTE.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Apoio técnico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LOG_AUDITORIA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id, usuario_id, acao, entidade, registro_id, data_hora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PK: id | FK: usuario_id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8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Registra ações críticas e acessos.</w:t>
            </w:r>
            <w:r>
              <w:rPr>
                <w:sz w:val="20"/>
                <w:szCs w:val="20"/>
              </w:rPr>
            </w:r>
          </w:p>
        </w:tc>
      </w:tr>
    </w:tbl>
    <w:p w14:paraId="5922E49A">
      <w:pPr>
        <w:pBdr/>
        <w:spacing/>
        <w:ind w:firstLine="709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9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As cardinalidades foram definidas com base nas regras já documentadas no projeto. Elas indicam quantos registros de uma entidade podem estar relacionados a outra e orientam a criação das chaves estrangeiras no banco.</w:t>
      </w:r>
      <w:r>
        <w:rPr>
          <w:sz w:val="24"/>
          <w:szCs w:val="24"/>
        </w:rPr>
      </w:r>
    </w:p>
    <w:p w14:paraId="1D4ED2D2">
      <w:pPr>
        <w:pStyle w:val="693"/>
        <w:pBdr/>
        <w:spacing w:after="80" w:before="160"/>
        <w:ind/>
        <w:jc w:val="center"/>
        <w:rPr>
          <w:rFonts w:ascii="Arial" w:hAnsi="Arial" w:cs="Arial"/>
          <w:b w:val="0"/>
          <w:bCs w:val="0"/>
          <w:color w:val="000000" w:themeColor="text1"/>
          <w:sz w:val="20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  <w:lang w:val="pt-BR"/>
        </w:rPr>
        <w:t xml:space="preserve">Tabela 6 -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</w:rPr>
        <w:t xml:space="preserve"> Relacionamentos e cardinalidades principais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2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/>
                <w:sz w:val="20"/>
                <w:szCs w:val="32"/>
              </w:rPr>
              <w:t xml:space="preserve">Relacionamento</w:t>
            </w:r>
            <w:r>
              <w:rPr>
                <w:sz w:val="32"/>
                <w:szCs w:val="32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/>
                <w:sz w:val="20"/>
                <w:szCs w:val="32"/>
              </w:rPr>
              <w:t xml:space="preserve">Cardinalidade</w:t>
            </w:r>
            <w:r>
              <w:rPr>
                <w:sz w:val="32"/>
                <w:szCs w:val="32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/>
                <w:sz w:val="20"/>
                <w:szCs w:val="32"/>
              </w:rPr>
              <w:t xml:space="preserve">FK / associativa</w:t>
            </w:r>
            <w:r>
              <w:rPr>
                <w:sz w:val="32"/>
                <w:szCs w:val="32"/>
              </w:rPr>
            </w:r>
          </w:p>
        </w:tc>
        <w:tc>
          <w:tcPr>
            <w:shd w:val="clear" w:color="auto" w:fill="d9e2f3"/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/>
                <w:sz w:val="20"/>
                <w:szCs w:val="32"/>
              </w:rPr>
              <w:t xml:space="preserve">Interpretação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USUARIO - LEAD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LEAD.responsavel_id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Um USUARIO pode ser responsável por vários LEADs.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ETAPA_FUNIL - LEAD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LEAD.etapa_funil_id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Cada LEAD ocupa uma etapa configurável.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LEAD - CLIENTE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0..1 : 0..1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CLIENTE.lead_origem_id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A conversão é opcional e preserva a origem.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LEAD - PROPOSTA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PROPOSTA.lead_id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Um LEAD pode possuir várias propostas.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PROPOSTA - ITEM_PROPOSTA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ITEM_PROPOSTA.proposta_id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Os itens pertencem à proposta.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CLIENTE - CONTATO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CONTATO.cliente_id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Um CLIENTE pode possuir vários CONTATOs.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CLIENTE - PROJETO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PROJETO.cliente_id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Não existe PROJETO sem CLIENTE cadastrado.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USUARIO - PROJETO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PROJETO.responsavel_id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Cada PROJETO possui um responsável principal.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 - USUARIO (equipe)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N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PROJETO_USUARIO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Um usuário pode participar de vários projetos e vice-versa.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STATUS_PROJETO - PROJETO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PROJETO.status_id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O status do projeto é parametrizável.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 - QUADRO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1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QUADRO.projeto_id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No MVP, cada PROJETO possui um QUADRO.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QUADRO - COLUNA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COLUNA.quadro_id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O QUADRO possui várias COLUNAS.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 - TAREFA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TAREFA.projeto_id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O PROJETO possui várias TAREFAS.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COLUNA - TAREFA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TAREFA.coluna_id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Cada TAREFA ocupa uma COLUNA por vez.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USUARIO - TAREFA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TAREFA.responsavel_id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Cada TAREFA possui um responsável.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TAREFA - COMENTARIO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COMENTARIO.tarefa_id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Comentários permanecem vinculados à TAREFA.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CLIENTE - SOLICITACAO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SOLICITACAO.cliente_id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Toda SOLICITACAO pertence a um CLIENTE.</w:t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PROJETO - SOLICITACAO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0..1 : 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SOLICITACAO.projeto_id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40" w:lineRule="auto"/>
              <w:ind/>
              <w:rPr>
                <w:sz w:val="32"/>
                <w:szCs w:val="32"/>
              </w:rPr>
            </w:pPr>
            <w:r>
              <w:rPr>
                <w:sz w:val="20"/>
                <w:szCs w:val="32"/>
              </w:rPr>
            </w:r>
            <w:r>
              <w:rPr>
                <w:rFonts w:ascii="Arial" w:hAnsi="Arial"/>
                <w:b w:val="0"/>
                <w:sz w:val="20"/>
                <w:szCs w:val="32"/>
              </w:rPr>
              <w:t xml:space="preserve">A SOLICITACAO pode ou não estar ligada a um PROJETO.</w:t>
            </w:r>
            <w:r>
              <w:rPr>
                <w:sz w:val="32"/>
                <w:szCs w:val="32"/>
              </w:rPr>
            </w:r>
          </w:p>
        </w:tc>
      </w:tr>
    </w:tbl>
    <w:p w14:paraId="4872C358">
      <w:pPr>
        <w:pBdr/>
        <w:spacing w:after="0" w:line="312" w:lineRule="auto"/>
        <w:ind w:firstLine="709"/>
        <w:jc w:val="both"/>
        <w:rPr/>
      </w:pP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  <w:r>
        <w:rPr>
          <w:rFonts w:ascii="Arial" w:hAnsi="Arial"/>
          <w:sz w:val="22"/>
          <w:highlight w:val="none"/>
        </w:rPr>
      </w:r>
    </w:p>
    <w:p>
      <w:pPr>
        <w:pBdr/>
        <w:spacing w:after="0" w:line="312" w:lineRule="auto"/>
        <w:ind w:firstLine="709"/>
        <w:jc w:val="both"/>
        <w:rPr>
          <w:rFonts w:ascii="Arial" w:hAnsi="Arial"/>
          <w:sz w:val="24"/>
          <w:szCs w:val="24"/>
          <w:highlight w:val="none"/>
        </w:rPr>
      </w:pPr>
      <w:r>
        <w:rPr>
          <w:rFonts w:ascii="Arial" w:hAnsi="Arial"/>
          <w:sz w:val="24"/>
          <w:szCs w:val="24"/>
        </w:rPr>
        <w:t xml:space="preserve">O Diagrama Entidade-Relacionamento (DER) consolida visualm</w:t>
      </w:r>
      <w:r>
        <w:rPr>
          <w:rFonts w:ascii="Arial" w:hAnsi="Arial"/>
          <w:sz w:val="24"/>
          <w:szCs w:val="24"/>
        </w:rPr>
        <w:t xml:space="preserve">ente as entidades, chaves e cardinalidades definidas neste modelo. </w:t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17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 w:line="360" w:lineRule="auto"/>
      <w:ind/>
    </w:pPr>
    <w:rPr>
      <w:rFonts w:ascii="Arial" w:hAnsi="Arial" w:eastAsia="Arial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  <w:sz w:val="2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2026-09-16T02:08:41Z</dcterms:modified>
  <cp:category/>
</cp:coreProperties>
</file>