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both"/>
        <w:rPr>
          <w:sz w:val="24"/>
          <w:szCs w:val="24"/>
        </w:rPr>
      </w:pPr>
      <w:r/>
      <w:bookmarkStart w:id="0" w:name="_GoBack"/>
      <w:r/>
      <w:bookmarkEnd w:id="0"/>
      <w:r>
        <w:t xml:space="preserve">11.5 DIAGRAMA DE CLASSES</w:t>
        <w:br/>
        <w:tab/>
      </w:r>
      <w:r>
        <w:rPr>
          <w:sz w:val="24"/>
          <w:szCs w:val="24"/>
        </w:rPr>
        <w:t xml:space="preserve">O diagrama de classes da NexusDev Platform foi elaborado a partir dos requisitos funcionais, das regras de negócio, dos casos de uso e das entidades identificadas com a Crystal Up Soluções Digitais. Seu objetivo é representar a es</w:t>
      </w:r>
      <w:r>
        <w:rPr>
          <w:sz w:val="24"/>
          <w:szCs w:val="24"/>
        </w:rPr>
        <w:t xml:space="preserve">trutura estática da solução, evidenciando os elementos do domínio, suas responsabilidades e seus relacionamentos. Assim, estabelece uma referência para o desenvolvimento, a modelagem do banco de dados e os testes.</w:t>
        <w:br/>
        <w:tab/>
        <w:t xml:space="preserve">A modelagem foi organizada nos módulos de</w:t>
      </w:r>
      <w:r>
        <w:rPr>
          <w:sz w:val="24"/>
          <w:szCs w:val="24"/>
        </w:rPr>
        <w:t xml:space="preserve"> acesso e usuários, CRM e comercial, gestão de projetos e Kanban e solicitações e atendimento. As classes foram distribuídas entre elementos de domínio, apoio e parametrização, separando responsabilidades e preservando a integração dos processos. A estrutu</w:t>
      </w:r>
      <w:r>
        <w:rPr>
          <w:sz w:val="24"/>
          <w:szCs w:val="24"/>
        </w:rPr>
        <w:t xml:space="preserve">ra atende à proposta de um produto genérico, configurável e reutilizável, pois etapas, status, categorias e prioridades podem ser ajustados conforme cada organização, sem valores fixos no código.</w:t>
        <w:br/>
        <w:tab/>
        <w:t xml:space="preserve">No acesso, USUARIO concentra os dados de autenticação, perf</w:t>
      </w:r>
      <w:r>
        <w:rPr>
          <w:sz w:val="24"/>
          <w:szCs w:val="24"/>
        </w:rPr>
        <w:t xml:space="preserve">is, status da conta e autoria das ações. No CRM, LEAD representa o potencial cliente e registra origem, interesse, responsável, etapa do funil e interações; quando a negociação é concluída, pode ser convertido em CLIENTE, preservando a rastreabilidade. CLI</w:t>
      </w:r>
      <w:r>
        <w:rPr>
          <w:sz w:val="24"/>
          <w:szCs w:val="24"/>
        </w:rPr>
        <w:t xml:space="preserve">ENTE pode possuir diversos CONTATOS, INTERACOES, PROPOSTAS e PROJETOS, e sua inativação lógica preserva o histórico relacionado.</w:t>
        <w:br/>
        <w:tab/>
        <w:t xml:space="preserve">Na gestão de projetos, PROJETO conecta o relacionamento comercial à execução dos serviços e está associado a CLIENTE, responsá</w:t>
      </w:r>
      <w:r>
        <w:rPr>
          <w:sz w:val="24"/>
          <w:szCs w:val="24"/>
        </w:rPr>
        <w:t xml:space="preserve">vel e, quando necessário, equipe de USUARIOS. No MVP, cada PROJETO possui um QUADRO Kanban formado por COLUNAS configuráveis, nas quais são organizadas as TAREFAS, que podem receber COMENTARIOS e ANEXOS. O atendimento é representado por SOLICITACAO, CATEGO</w:t>
      </w:r>
      <w:r>
        <w:rPr>
          <w:sz w:val="24"/>
          <w:szCs w:val="24"/>
        </w:rPr>
        <w:t xml:space="preserve">RIA_SOLICITACAO e PRIORIDADE_SOLICITACAO, permitindo registrar demandas, vinculá-las opcionalmente a PROJETOS e, quando aplicável, transformá-las em TAREFAS.</w:t>
        <w:br/>
        <w:tab/>
        <w:t xml:space="preserve">Os relacionamentos e as multiplicidades seguem as regras de negócio: todo PROJETO pertence a CLIE</w:t>
      </w:r>
      <w:r>
        <w:rPr>
          <w:sz w:val="24"/>
          <w:szCs w:val="24"/>
        </w:rPr>
        <w:t xml:space="preserve">NTE; QUADRO e COLUNAS estruturam o Kanban; TAREFA possui responsável; LEAD pode ser convertido em CLIENTE; e SOLICITACAO pertence a CLIENTE, com vínculo opcional a PROJETO. O diagrama mantém rastreabilidade com os requisitos, os casos de uso e o Diagrama E</w:t>
      </w:r>
      <w:r>
        <w:rPr>
          <w:sz w:val="24"/>
          <w:szCs w:val="24"/>
        </w:rPr>
        <w:t xml:space="preserve">ntidade-Relacionamento (DER). O detalhamento das relações e a imagem completa permanecem nos Apêndices A e B.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2026-09-18T01:52:01Z</dcterms:modified>
</cp:coreProperties>
</file>