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line="360" w:lineRule="auto"/>
      </w:pPr>
      <w:r>
        <w:rPr>
          <w:rFonts w:ascii="Times New Roman" w:cs="Times New Roman" w:eastAsia="Times New Roman" w:hAnsi="Times New Roman"/>
          <w:b/>
          <w:bCs/>
          <w:sz w:val="24"/>
          <w:szCs w:val="24"/>
        </w:rPr>
        <w:t xml:space="preserve">7.9 Matriz RACI das personas do sistema</w:t>
      </w:r>
    </w:p>
    <w:p>
      <w:pPr>
        <w:spacing w:after="200" w:line="360" w:lineRule="auto"/>
        <w:ind w:firstLine="709"/>
        <w:jc w:val="both"/>
      </w:pPr>
      <w:r>
        <w:rPr>
          <w:rFonts w:ascii="Times New Roman" w:cs="Times New Roman" w:eastAsia="Times New Roman" w:hAnsi="Times New Roman"/>
          <w:b w:val="false"/>
          <w:bCs w:val="false"/>
          <w:i w:val="false"/>
          <w:iCs w:val="false"/>
          <w:sz w:val="24"/>
          <w:szCs w:val="24"/>
        </w:rPr>
        <w:t xml:space="preserve">A matriz RACI (Responsible, Accountable, Consulted, Informed) é uma ferramenta de atribuição de responsabilidades amplamente utilizada no gerenciamento de projetos para esclarecer papéis e reduzir ambiguidades entre os envolvidos em uma atividade ou entregável (PROJECT MANAGEMENT INSTITUTE, 2017). De acordo com Vargas (2016), o instrumento associa cada tarefa às pessoas ou funções responsáveis por ela, classificando a participação de cada uma em quatro categorias — Responsável, Aprovador, Consultado e Informado —, o que evita a sobreposição de esforços e as lacunas de responsabilidade na condução do trabalho.</w:t>
      </w:r>
    </w:p>
    <w:p>
      <w:pPr>
        <w:spacing w:after="200" w:line="360" w:lineRule="auto"/>
        <w:ind w:firstLine="709"/>
        <w:jc w:val="both"/>
      </w:pPr>
      <w:r>
        <w:rPr>
          <w:rFonts w:ascii="Times New Roman" w:cs="Times New Roman" w:eastAsia="Times New Roman" w:hAnsi="Times New Roman"/>
          <w:b w:val="false"/>
          <w:bCs w:val="false"/>
          <w:i w:val="false"/>
          <w:iCs w:val="false"/>
          <w:sz w:val="24"/>
          <w:szCs w:val="24"/>
        </w:rPr>
        <w:t xml:space="preserve">No NexusDev Platform, as responsabilidades de cada persona (PERFIL) foram consolidadas nesse formato, relacionando cada funcionalidade central do sistema aos quatro papéis citados. Como regras gerais, as funcionalidades sem participação de determinado perfil permanecem marcadas com o símbolo —, e a atribuição de cada papel busca refletir o processo de negócio da Cristal UP! sem fixar regras que impeçam a comercialização do produto para outros clientes.</w:t>
      </w:r>
    </w:p>
    <w:p>
      <w:pPr>
        <w:spacing w:after="120" w:before="120" w:line="240"/>
        <w:jc w:val="center"/>
      </w:pPr>
      <w:r>
        <w:rPr>
          <w:rFonts w:ascii="Times New Roman" w:cs="Times New Roman" w:eastAsia="Times New Roman" w:hAnsi="Times New Roman"/>
          <w:sz w:val="20"/>
          <w:szCs w:val="20"/>
        </w:rPr>
        <w:t xml:space="preserve">Quadro 13 – Matriz RACI das Personas do Sistema NexusDev Platform</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1450"/>
        <w:gridCol w:w="1150"/>
        <w:gridCol w:w="1350"/>
        <w:gridCol w:w="1220"/>
      </w:tblGrid>
      <w:tr>
        <w:trPr>
          <w:tblHeader/>
        </w:trPr>
        <w:tc>
          <w:tcPr>
            <w:tcW w:type="dxa" w:w="2400"/>
            <w:tcBorders>
              <w:top w:val="single" w:color="000000" w:sz="4"/>
              <w:left w:val="single" w:color="000000" w:sz="4"/>
              <w:bottom w:val="single" w:color="000000" w:sz="4"/>
              <w:right w:val="single" w:color="000000" w:sz="4"/>
            </w:tcBorders>
            <w:shd w:fill="D9D9D9" w:val="clear"/>
            <w:vAlign w:val="center"/>
          </w:tcPr>
          <w:p>
            <w:pPr>
              <w:spacing w:line="240"/>
              <w:jc w:val="center"/>
            </w:pPr>
            <w:r>
              <w:rPr>
                <w:rFonts w:ascii="Times New Roman" w:cs="Times New Roman" w:eastAsia="Times New Roman" w:hAnsi="Times New Roman"/>
                <w:b/>
                <w:bCs/>
                <w:sz w:val="20"/>
                <w:szCs w:val="20"/>
              </w:rPr>
              <w:t xml:space="preserve">Funcionalidade</w:t>
            </w:r>
          </w:p>
        </w:tc>
        <w:tc>
          <w:tcPr>
            <w:tcW w:type="dxa" w:w="1500"/>
            <w:tcBorders>
              <w:top w:val="single" w:color="000000" w:sz="4"/>
              <w:left w:val="single" w:color="000000" w:sz="4"/>
              <w:bottom w:val="single" w:color="000000" w:sz="4"/>
              <w:right w:val="single" w:color="000000" w:sz="4"/>
            </w:tcBorders>
            <w:shd w:fill="D9D9D9" w:val="clear"/>
            <w:vAlign w:val="center"/>
          </w:tcPr>
          <w:p>
            <w:pPr>
              <w:spacing w:line="240"/>
              <w:jc w:val="center"/>
            </w:pPr>
            <w:r>
              <w:rPr>
                <w:rFonts w:ascii="Times New Roman" w:cs="Times New Roman" w:eastAsia="Times New Roman" w:hAnsi="Times New Roman"/>
                <w:b/>
                <w:bCs/>
                <w:sz w:val="20"/>
                <w:szCs w:val="20"/>
              </w:rPr>
              <w:t xml:space="preserve">Administrador</w:t>
            </w:r>
          </w:p>
        </w:tc>
        <w:tc>
          <w:tcPr>
            <w:tcW w:type="dxa" w:w="1450"/>
            <w:tcBorders>
              <w:top w:val="single" w:color="000000" w:sz="4"/>
              <w:left w:val="single" w:color="000000" w:sz="4"/>
              <w:bottom w:val="single" w:color="000000" w:sz="4"/>
              <w:right w:val="single" w:color="000000" w:sz="4"/>
            </w:tcBorders>
            <w:shd w:fill="D9D9D9" w:val="clear"/>
            <w:vAlign w:val="center"/>
          </w:tcPr>
          <w:p>
            <w:pPr>
              <w:spacing w:line="240"/>
              <w:jc w:val="center"/>
            </w:pPr>
            <w:r>
              <w:rPr>
                <w:rFonts w:ascii="Times New Roman" w:cs="Times New Roman" w:eastAsia="Times New Roman" w:hAnsi="Times New Roman"/>
                <w:b/>
                <w:bCs/>
                <w:sz w:val="20"/>
                <w:szCs w:val="20"/>
              </w:rPr>
              <w:t xml:space="preserve">Gestor de Projetos</w:t>
            </w:r>
          </w:p>
        </w:tc>
        <w:tc>
          <w:tcPr>
            <w:tcW w:type="dxa" w:w="1150"/>
            <w:tcBorders>
              <w:top w:val="single" w:color="000000" w:sz="4"/>
              <w:left w:val="single" w:color="000000" w:sz="4"/>
              <w:bottom w:val="single" w:color="000000" w:sz="4"/>
              <w:right w:val="single" w:color="000000" w:sz="4"/>
            </w:tcBorders>
            <w:shd w:fill="D9D9D9" w:val="clear"/>
            <w:vAlign w:val="center"/>
          </w:tcPr>
          <w:p>
            <w:pPr>
              <w:spacing w:line="240"/>
              <w:jc w:val="center"/>
            </w:pPr>
            <w:r>
              <w:rPr>
                <w:rFonts w:ascii="Times New Roman" w:cs="Times New Roman" w:eastAsia="Times New Roman" w:hAnsi="Times New Roman"/>
                <w:b/>
                <w:bCs/>
                <w:sz w:val="20"/>
                <w:szCs w:val="20"/>
              </w:rPr>
              <w:t xml:space="preserve">Comercial</w:t>
            </w:r>
          </w:p>
        </w:tc>
        <w:tc>
          <w:tcPr>
            <w:tcW w:type="dxa" w:w="1350"/>
            <w:tcBorders>
              <w:top w:val="single" w:color="000000" w:sz="4"/>
              <w:left w:val="single" w:color="000000" w:sz="4"/>
              <w:bottom w:val="single" w:color="000000" w:sz="4"/>
              <w:right w:val="single" w:color="000000" w:sz="4"/>
            </w:tcBorders>
            <w:shd w:fill="D9D9D9" w:val="clear"/>
            <w:vAlign w:val="center"/>
          </w:tcPr>
          <w:p>
            <w:pPr>
              <w:spacing w:line="240"/>
              <w:jc w:val="center"/>
            </w:pPr>
            <w:r>
              <w:rPr>
                <w:rFonts w:ascii="Times New Roman" w:cs="Times New Roman" w:eastAsia="Times New Roman" w:hAnsi="Times New Roman"/>
                <w:b/>
                <w:bCs/>
                <w:sz w:val="20"/>
                <w:szCs w:val="20"/>
              </w:rPr>
              <w:t xml:space="preserve">Colaborador</w:t>
            </w:r>
          </w:p>
        </w:tc>
        <w:tc>
          <w:tcPr>
            <w:tcW w:type="dxa" w:w="1220"/>
            <w:tcBorders>
              <w:top w:val="single" w:color="000000" w:sz="4"/>
              <w:left w:val="single" w:color="000000" w:sz="4"/>
              <w:bottom w:val="single" w:color="000000" w:sz="4"/>
              <w:right w:val="single" w:color="000000" w:sz="4"/>
            </w:tcBorders>
            <w:shd w:fill="D9D9D9" w:val="clear"/>
            <w:vAlign w:val="center"/>
          </w:tcPr>
          <w:p>
            <w:pPr>
              <w:spacing w:line="240"/>
              <w:jc w:val="center"/>
            </w:pPr>
            <w:r>
              <w:rPr>
                <w:rFonts w:ascii="Times New Roman" w:cs="Times New Roman" w:eastAsia="Times New Roman" w:hAnsi="Times New Roman"/>
                <w:b/>
                <w:bCs/>
                <w:sz w:val="20"/>
                <w:szCs w:val="20"/>
              </w:rPr>
              <w:t xml:space="preserve">Cliente</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Cadastro manual de LEAD</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Movimentação do LEAD no funil de vendas</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Conversão de LEAD em CLIENTE</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A</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Cadastro e edição de CLIENTE e CONTATO</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A</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Registro de INTERACAO com CLIENTE</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Criação de PROJETO</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A</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Gestão do QUADRO e das COLUNAS do Kanban</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Criação e atribuição de TAREFA</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Comentário em TAREFA</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Upload de ANEXO em TAREFA</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Configuração de PERFIL e permissões</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Configuração de etapas/status parametrizáveis</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R</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w:t>
            </w:r>
          </w:p>
        </w:tc>
      </w:tr>
      <w:tr>
        <w:tc>
          <w:tcPr>
            <w:tcW w:type="dxa" w:w="2400"/>
            <w:tcBorders>
              <w:top w:val="single" w:color="000000" w:sz="4"/>
              <w:left w:val="single" w:color="000000" w:sz="4"/>
              <w:bottom w:val="single" w:color="000000" w:sz="4"/>
              <w:right w:val="single" w:color="000000" w:sz="4"/>
            </w:tcBorders>
            <w:vAlign w:val="center"/>
          </w:tcPr>
          <w:p>
            <w:pPr>
              <w:spacing w:line="240"/>
              <w:jc w:val="left"/>
            </w:pPr>
            <w:r>
              <w:rPr>
                <w:rFonts w:ascii="Times New Roman" w:cs="Times New Roman" w:eastAsia="Times New Roman" w:hAnsi="Times New Roman"/>
                <w:sz w:val="20"/>
                <w:szCs w:val="20"/>
              </w:rPr>
              <w:t xml:space="preserve">Tratamento de dados pessoais (LGPD)</w:t>
            </w:r>
          </w:p>
        </w:tc>
        <w:tc>
          <w:tcPr>
            <w:tcW w:type="dxa" w:w="150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A</w:t>
            </w:r>
          </w:p>
        </w:tc>
        <w:tc>
          <w:tcPr>
            <w:tcW w:type="dxa" w:w="14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1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35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C</w:t>
            </w:r>
          </w:p>
        </w:tc>
        <w:tc>
          <w:tcPr>
            <w:tcW w:type="dxa" w:w="1220"/>
            <w:tcBorders>
              <w:top w:val="single" w:color="000000" w:sz="4"/>
              <w:left w:val="single" w:color="000000" w:sz="4"/>
              <w:bottom w:val="single" w:color="000000" w:sz="4"/>
              <w:right w:val="single" w:color="000000" w:sz="4"/>
            </w:tcBorders>
            <w:vAlign w:val="center"/>
          </w:tcPr>
          <w:p>
            <w:pPr>
              <w:spacing w:line="240"/>
              <w:jc w:val="center"/>
            </w:pPr>
            <w:r>
              <w:rPr>
                <w:rFonts w:ascii="Times New Roman" w:cs="Times New Roman" w:eastAsia="Times New Roman" w:hAnsi="Times New Roman"/>
                <w:b/>
                <w:bCs/>
                <w:sz w:val="20"/>
                <w:szCs w:val="20"/>
              </w:rPr>
              <w:t xml:space="preserve">I</w:t>
            </w:r>
          </w:p>
        </w:tc>
      </w:tr>
    </w:tbl>
    <w:p>
      <w:pPr>
        <w:spacing w:after="120" w:before="120"/>
      </w:pPr>
    </w:p>
    <w:p>
      <w:pPr>
        <w:spacing w:after="60" w:line="240"/>
        <w:jc w:val="left"/>
      </w:pPr>
      <w:r>
        <w:rPr>
          <w:rFonts w:ascii="Times New Roman" w:cs="Times New Roman" w:eastAsia="Times New Roman" w:hAnsi="Times New Roman"/>
          <w:sz w:val="20"/>
          <w:szCs w:val="20"/>
        </w:rPr>
        <w:t xml:space="preserve">Legenda: R = Responsável (executa) | A = Aprovador (aprova/decide) | C = Consultado (opina antes) | I = Informado (comunicado depois) | — = sem participação nessa funcionalidade.</w:t>
      </w:r>
    </w:p>
    <w:p>
      <w:pPr>
        <w:spacing w:after="60" w:line="240"/>
        <w:jc w:val="left"/>
      </w:pPr>
      <w:r>
        <w:rPr>
          <w:rFonts w:ascii="Times New Roman" w:cs="Times New Roman" w:eastAsia="Times New Roman" w:hAnsi="Times New Roman"/>
          <w:sz w:val="20"/>
          <w:szCs w:val="20"/>
        </w:rPr>
        <w:t xml:space="preserve">Fonte: elaborado pelos autores com base nos documentos de requisitos do projeto (2026).</w:t>
      </w:r>
    </w:p>
    <w:p>
      <w:pPr>
        <w:spacing w:after="200" w:before="200" w:line="360"/>
      </w:pPr>
      <w:r>
        <w:rPr>
          <w:rFonts w:ascii="Times New Roman" w:cs="Times New Roman" w:eastAsia="Times New Roman" w:hAnsi="Times New Roman"/>
          <w:b/>
          <w:bCs/>
          <w:sz w:val="24"/>
          <w:szCs w:val="24"/>
        </w:rPr>
        <w:t xml:space="preserve">REFERÊNCIAS</w:t>
      </w:r>
    </w:p>
    <w:p>
      <w:pPr>
        <w:spacing w:after="200" w:line="240" w:lineRule="auto"/>
        <w:jc w:val="left"/>
      </w:pPr>
      <w:r>
        <w:rPr>
          <w:rFonts w:ascii="Times New Roman" w:cs="Times New Roman" w:eastAsia="Times New Roman" w:hAnsi="Times New Roman"/>
          <w:sz w:val="24"/>
          <w:szCs w:val="24"/>
        </w:rPr>
        <w:t xml:space="preserve">PROJECT MANAGEMENT INSTITUTE. Um guia do conhecimento em gerenciamento de projetos (Guia PMBOK). 6. ed. Newtown Square, PA: Project Management Institute, 2017.</w:t>
      </w:r>
    </w:p>
    <w:p>
      <w:pPr>
        <w:spacing w:after="200" w:line="240" w:lineRule="auto"/>
        <w:jc w:val="left"/>
      </w:pPr>
      <w:r>
        <w:rPr>
          <w:rFonts w:ascii="Times New Roman" w:cs="Times New Roman" w:eastAsia="Times New Roman" w:hAnsi="Times New Roman"/>
          <w:sz w:val="24"/>
          <w:szCs w:val="24"/>
        </w:rPr>
        <w:t xml:space="preserve">VARGAS, Ricardo Viana. Gerenciamento de projetos: estabelecendo diferenciais competitivos. 8. ed. Rio de Janeiro: Brasport, 2016.</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2026-08-26T23:59:09.066Z</dcterms:created>
  <dcterms:modified xsi:type="dcterms:W3CDTF">2026-08-26T23:59:09.080Z</dcterms:modified>
</cp:coreProperties>
</file>

<file path=docProps/custom.xml><?xml version="1.0" encoding="utf-8"?>
<Properties xmlns="http://schemas.openxmlformats.org/officeDocument/2006/custom-properties" xmlns:vt="http://schemas.openxmlformats.org/officeDocument/2006/docPropsVTypes"/>
</file>