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header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>
      <w:pPr>
        <w:spacing w:before="0" w:after="240"/>
        <w:jc w:val="center"/>
      </w:pPr>
      <w:r>
        <w:rPr>
          <w:rFonts w:ascii="Corbel" w:hAnsi="Corbel"/>
          <w:b/>
          <w:i w:val="0"/>
          <w:color w:val="0123A1"/>
          <w:sz w:val="56"/>
        </w:rPr>
        <w:t>GUIA DE DEMONSTRAÇÃO</w:t>
      </w:r>
    </w:p>
    <w:p>
      <w:pPr>
        <w:spacing w:before="0" w:after="240"/>
        <w:jc w:val="center"/>
      </w:pPr>
      <w:r>
        <w:rPr>
          <w:rFonts w:ascii="Corbel" w:hAnsi="Corbel"/>
          <w:b w:val="0"/>
          <w:i w:val="0"/>
          <w:color w:val="000000"/>
          <w:sz w:val="36"/>
        </w:rPr>
        <w:t>Safedocs — Exemplos completos</w:t>
      </w:r>
    </w:p>
    <w:p/>
    <w:p/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120"/>
        <w:jc w:val="center"/>
      </w:pPr>
      <w:r>
        <w:rPr>
          <w:rFonts w:ascii="Corbel" w:hAnsi="Corbel"/>
          <w:b w:val="0"/>
          <w:i w:val="0"/>
          <w:color w:val="000000"/>
          <w:sz w:val="24"/>
        </w:rPr>
        <w:t>Código: GUIDE-2026-02</w:t>
      </w:r>
    </w:p>
    <w:p>
      <w:pPr>
        <w:spacing w:before="0" w:after="120"/>
        <w:jc w:val="center"/>
      </w:pPr>
      <w:r>
        <w:rPr>
          <w:rFonts w:ascii="Corbel" w:hAnsi="Corbel"/>
          <w:b w:val="0"/>
          <w:i w:val="0"/>
          <w:color w:val="000000"/>
          <w:sz w:val="24"/>
        </w:rPr>
        <w:t>Data: 2026-03-15</w:t>
      </w:r>
    </w:p>
    <w:p>
      <w:pPr>
        <w:spacing w:before="0" w:after="120"/>
        <w:jc w:val="center"/>
      </w:pPr>
      <w:r>
        <w:rPr>
          <w:rFonts w:ascii="Corbel" w:hAnsi="Corbel"/>
          <w:b w:val="0"/>
          <w:i w:val="0"/>
          <w:color w:val="000000"/>
          <w:sz w:val="24"/>
        </w:rPr>
        <w:t>Versão: B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Corbel" w:hAnsi="Corbel"/>
          <w:b/>
          <w:i w:val="0"/>
          <w:color w:val="0123A1"/>
          <w:sz w:val="40"/>
        </w:rPr>
        <w:t>Seção 1 — Visão geral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Este documento visa demonstrar cada bloco suportado pelo Safedocs e servir como referência para a IA que gera o JSON.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 xml:space="preserve">Você pode mesclar </w:t>
      </w:r>
      <w:r>
        <w:rPr>
          <w:rFonts w:ascii="Corbel" w:hAnsi="Corbel"/>
          <w:b/>
          <w:i w:val="0"/>
          <w:color w:val="0123A1"/>
          <w:sz w:val="22"/>
        </w:rPr>
        <w:t>negrito azul</w:t>
      </w:r>
      <w:r>
        <w:rPr>
          <w:rFonts w:ascii="Corbel" w:hAnsi="Corbel"/>
          <w:b w:val="0"/>
          <w:i w:val="0"/>
          <w:color w:val="000000"/>
          <w:sz w:val="22"/>
        </w:rPr>
        <w:t xml:space="preserve">, </w:t>
      </w:r>
      <w:r>
        <w:rPr>
          <w:rFonts w:ascii="Corbel" w:hAnsi="Corbel"/>
          <w:b w:val="0"/>
          <w:i w:val="0"/>
          <w:color w:val="0123A1"/>
          <w:sz w:val="22"/>
        </w:rPr>
        <w:t>texto azul</w:t>
      </w:r>
      <w:r>
        <w:rPr>
          <w:rFonts w:ascii="Corbel" w:hAnsi="Corbel"/>
          <w:b w:val="0"/>
          <w:i w:val="0"/>
          <w:color w:val="000000"/>
          <w:sz w:val="22"/>
        </w:rPr>
        <w:t xml:space="preserve"> ou </w:t>
      </w:r>
      <w:r>
        <w:rPr>
          <w:rFonts w:ascii="Corbel" w:hAnsi="Corbel"/>
          <w:b w:val="0"/>
          <w:i/>
          <w:color w:val="000000"/>
          <w:sz w:val="22"/>
        </w:rPr>
        <w:t>itálico</w:t>
      </w:r>
      <w:r>
        <w:rPr>
          <w:rFonts w:ascii="Corbel" w:hAnsi="Corbel"/>
          <w:b w:val="0"/>
          <w:i w:val="0"/>
          <w:color w:val="000000"/>
          <w:sz w:val="22"/>
        </w:rPr>
        <w:t xml:space="preserve">, </w:t>
      </w:r>
      <w:r>
        <w:rPr>
          <w:rFonts w:ascii="Corbel" w:hAnsi="Corbel"/>
          <w:b w:val="0"/>
          <w:i/>
          <w:color w:val="0123A1"/>
          <w:sz w:val="22"/>
        </w:rPr>
        <w:t>itálico azul</w:t>
      </w:r>
      <w:r>
        <w:rPr>
          <w:rFonts w:ascii="Corbel" w:hAnsi="Corbel"/>
          <w:b w:val="0"/>
          <w:i w:val="0"/>
          <w:color w:val="000000"/>
          <w:sz w:val="22"/>
        </w:rPr>
        <w:t xml:space="preserve"> e manter tudo fluido no mesmo parágrafo.</w:t>
      </w:r>
    </w:p>
    <w:p>
      <w:pPr>
        <w:spacing w:before="200" w:after="80"/>
        <w:jc w:val="left"/>
      </w:pPr>
      <w:r>
        <w:rPr>
          <w:rFonts w:ascii="Corbel" w:hAnsi="Corbel"/>
          <w:b/>
          <w:i w:val="0"/>
          <w:color w:val="0123A1"/>
          <w:sz w:val="32"/>
        </w:rPr>
        <w:t>Subseção 1.1 — Geração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As seções usam estilos diferenciados para evitar confusão visual, enquanto o restante do texto permanece em corpo justificado.</w:t>
      </w:r>
    </w:p>
    <w:p>
      <w:pPr>
        <w:spacing w:before="160" w:after="60"/>
        <w:jc w:val="left"/>
      </w:pPr>
      <w:r>
        <w:rPr>
          <w:rFonts w:ascii="Corbel" w:hAnsi="Corbel"/>
          <w:b/>
          <w:i w:val="0"/>
          <w:color w:val="0123A1"/>
          <w:sz w:val="28"/>
        </w:rPr>
        <w:t>Subsubseção 1.1.1 — Estrutura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Cada bloco JSON possui campos simples: apenas escreva o tipo correto em português e o Safedocs renderiza o estilo correspondente.</w:t>
      </w:r>
    </w:p>
    <w:p>
      <w:pPr>
        <w:spacing w:before="120" w:after="60"/>
        <w:jc w:val="left"/>
      </w:pPr>
      <w:r>
        <w:rPr>
          <w:rFonts w:ascii="Corbel" w:hAnsi="Corbel"/>
          <w:b/>
          <w:i w:val="0"/>
          <w:color w:val="0123A1"/>
          <w:sz w:val="24"/>
        </w:rPr>
        <w:t>Subsubsubseção 1.1.1.1 — Validação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O validador garante que o JSON contenha os campos obrigatórios e rejeita blocos desconhecidos.</w:t>
      </w:r>
    </w:p>
    <w:p>
      <w:pPr>
        <w:spacing w:before="240" w:after="120"/>
        <w:jc w:val="left"/>
      </w:pPr>
      <w:r>
        <w:rPr>
          <w:rFonts w:ascii="Corbel" w:hAnsi="Corbel"/>
          <w:b/>
          <w:i w:val="0"/>
          <w:color w:val="0123A1"/>
          <w:sz w:val="40"/>
        </w:rPr>
        <w:t>Seção 2 — Listas e Tabelas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• </w:t>
      </w:r>
      <w:r>
        <w:rPr>
          <w:rFonts w:ascii="Corbel" w:hAnsi="Corbel"/>
          <w:b w:val="0"/>
          <w:i w:val="0"/>
          <w:color w:val="000000"/>
          <w:sz w:val="22"/>
        </w:rPr>
        <w:t>Marcador 1 — apresentado em estilo bullet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• </w:t>
      </w:r>
      <w:r>
        <w:rPr>
          <w:rFonts w:ascii="Corbel" w:hAnsi="Corbel"/>
          <w:b w:val="0"/>
          <w:i w:val="0"/>
          <w:color w:val="000000"/>
          <w:sz w:val="22"/>
        </w:rPr>
        <w:t>Marcador 2 — com conteúdo explicativo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• </w:t>
      </w:r>
      <w:r>
        <w:rPr>
          <w:rFonts w:ascii="Corbel" w:hAnsi="Corbel"/>
          <w:b w:val="0"/>
          <w:i w:val="0"/>
          <w:color w:val="000000"/>
          <w:sz w:val="22"/>
        </w:rPr>
        <w:t>Marcador 3 — ainda em bullet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1. </w:t>
      </w:r>
      <w:r>
        <w:rPr>
          <w:rFonts w:ascii="Corbel" w:hAnsi="Corbel"/>
          <w:b w:val="0"/>
          <w:i w:val="0"/>
          <w:color w:val="000000"/>
          <w:sz w:val="22"/>
        </w:rPr>
        <w:t>Primeira etapa do processo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2. </w:t>
      </w:r>
      <w:r>
        <w:rPr>
          <w:rFonts w:ascii="Corbel" w:hAnsi="Corbel"/>
          <w:b w:val="0"/>
          <w:i w:val="0"/>
          <w:color w:val="000000"/>
          <w:sz w:val="22"/>
        </w:rPr>
        <w:t>Segunda etapa analítica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3. </w:t>
      </w:r>
      <w:r>
        <w:rPr>
          <w:rFonts w:ascii="Corbel" w:hAnsi="Corbel"/>
          <w:b w:val="0"/>
          <w:i w:val="0"/>
          <w:color w:val="000000"/>
          <w:sz w:val="22"/>
        </w:rPr>
        <w:t>Terceira etapa validada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A seguir, uma tabela resume as entradas possíveis.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0123A1"/>
          </w:tcPr>
          <w:p>
            <w:pPr>
              <w:spacing w:before="0" w:after="0"/>
              <w:jc w:val="center"/>
            </w:pPr>
            <w:r>
              <w:rPr>
                <w:rFonts w:ascii="Corbel" w:hAnsi="Corbel"/>
                <w:b/>
                <w:i w:val="0"/>
                <w:color w:val="FFFFFF"/>
                <w:sz w:val="22"/>
              </w:rPr>
              <w:t>Atributo</w:t>
            </w:r>
          </w:p>
        </w:tc>
        <w:tc>
          <w:tcPr>
            <w:tcW w:type="dxa" w:w="3009"/>
            <w:shd w:fill="0123A1"/>
          </w:tcPr>
          <w:p>
            <w:pPr>
              <w:spacing w:before="0" w:after="0"/>
              <w:jc w:val="center"/>
            </w:pPr>
            <w:r>
              <w:rPr>
                <w:rFonts w:ascii="Corbel" w:hAnsi="Corbel"/>
                <w:b/>
                <w:i w:val="0"/>
                <w:color w:val="FFFFFF"/>
                <w:sz w:val="22"/>
              </w:rPr>
              <w:t>Descrição</w:t>
            </w:r>
          </w:p>
        </w:tc>
        <w:tc>
          <w:tcPr>
            <w:tcW w:type="dxa" w:w="3009"/>
            <w:shd w:fill="0123A1"/>
          </w:tcPr>
          <w:p>
            <w:pPr>
              <w:spacing w:before="0" w:after="0"/>
              <w:jc w:val="center"/>
            </w:pPr>
            <w:r>
              <w:rPr>
                <w:rFonts w:ascii="Corbel" w:hAnsi="Corbel"/>
                <w:b/>
                <w:i w:val="0"/>
                <w:color w:val="FFFFFF"/>
                <w:sz w:val="22"/>
              </w:rPr>
              <w:t>Exemplo</w:t>
            </w:r>
          </w:p>
        </w:tc>
      </w:tr>
      <w:tr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tipo_do_documento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Nome do documento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Guia de Demonstração</w:t>
            </w:r>
          </w:p>
        </w:tc>
      </w:tr>
      <w:tr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nome_do_item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Produto principal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Safedocs — Exemplos completos</w:t>
            </w:r>
          </w:p>
        </w:tc>
      </w:tr>
      <w:tr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codigo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Identificador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GUIDE-2026-02</w:t>
            </w:r>
          </w:p>
        </w:tc>
      </w:tr>
    </w:tbl>
    <w:p>
      <w:pPr>
        <w:spacing w:before="240" w:after="120"/>
        <w:jc w:val="left"/>
      </w:pPr>
      <w:r>
        <w:rPr>
          <w:rFonts w:ascii="Corbel" w:hAnsi="Corbel"/>
          <w:b/>
          <w:i w:val="0"/>
          <w:color w:val="0123A1"/>
          <w:sz w:val="40"/>
        </w:rPr>
        <w:t>Seção 3 — Imagens e Quebra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A imagem abaixo usa o placeholder padrão; a IA pode enviar qualquer caminho, mas o Safedocs recai no placeholder configurado quando não encontra o arquivo.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orbel" w:hAnsi="Corbel"/>
          <w:b w:val="0"/>
          <w:i/>
          <w:color w:val="000000"/>
          <w:sz w:val="20"/>
        </w:rPr>
        <w:t>Figura 1 — Placeholder padrão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Após a imagem, forçamos uma quebra para ilustrar o comando `quebra_de_pagina`.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Corbel" w:hAnsi="Corbel"/>
          <w:b/>
          <w:i w:val="0"/>
          <w:color w:val="0123A1"/>
          <w:sz w:val="40"/>
        </w:rPr>
        <w:t>Seção 4 — Conclusão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Com este exemplo a IA pode inferir como mapear blocos textuais, listas, tabelas e imagens ao JSON reconhecido pelo Safedocs.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Documentação completa: código, data e revisão aparecem na capa, seções ficam hierarquizadas e as runs demonstram variações de estilo.</w:t>
      </w:r>
    </w:p>
    <w:sectPr>
      <w:pgSz w:w="11906" w:h="16838" w:orient="portrait"/>
      <w:pgMar w:top="2880" w:right="1440" w:bottom="2160" w:left="1440" w:header="720" w:footer="720" w:gutter="0"/>
      <w:cols w:space="720"/>
      <w:docGrid w:linePitch="360"/>
      <w:headerReference w:type="default" r:id="R3c2fefd146fb428e"/>
      <w:footerReference w:type="default" r:id="R6c96641882cb471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p w:rsidR="16D1052F" w:rsidP="16D1052F" w:rsidRDefault="16D1052F" w14:paraId="7F785C95" w14:textId="3784A4EF">
    <w:pPr>
      <w:pStyle w:val="Footer"/>
      <w:jc w:val="right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  <w:p w:rsidR="48D9388B" w:rsidP="48D9388B" w:rsidRDefault="48D9388B" w14:paraId="26B71330" w14:noSpellErr="1" w14:textId="7DAED39F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48D9388B" w:rsidP="48D9388B" w:rsidRDefault="48D9388B" w14:paraId="20AEACC1" w14:textId="14197FDE">
    <w:pPr>
      <w:pStyle w:val="Header"/>
      <w:bidi w:val="0"/>
    </w:pPr>
    <w:r w:rsidR="369A922A">
      <w:drawing>
        <wp:anchor distT="0" distB="0" distL="114300" distR="114300" simplePos="0" relativeHeight="251658240" behindDoc="1" locked="0" layoutInCell="1" allowOverlap="1" wp14:anchorId="46F6287B" wp14:editId="4D2D4CB6">
          <wp:simplePos x="0" y="0"/>
          <wp:positionH relativeFrom="column">
            <wp:posOffset>-923925</wp:posOffset>
          </wp:positionH>
          <wp:positionV relativeFrom="paragraph">
            <wp:posOffset>-466725</wp:posOffset>
          </wp:positionV>
          <wp:extent cx="7627123" cy="10785653"/>
          <wp:effectExtent l="0" t="0" r="0" b="0"/>
          <wp:wrapNone/>
          <wp:docPr id="1146446046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146446046" name=""/>
                  <pic:cNvPicPr/>
                </pic:nvPicPr>
                <pic:blipFill>
                  <a:blip xmlns:r="http://schemas.openxmlformats.org/officeDocument/2006/relationships" r:embed="rId81988694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627123" cy="107856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D2909FF"/>
    <w:rsid w:val="0427BCC0"/>
    <w:rsid w:val="06C339C6"/>
    <w:rsid w:val="090817BB"/>
    <w:rsid w:val="139F3203"/>
    <w:rsid w:val="140EDFD9"/>
    <w:rsid w:val="16D1052F"/>
    <w:rsid w:val="175E18FE"/>
    <w:rsid w:val="1E48BF3E"/>
    <w:rsid w:val="214C4478"/>
    <w:rsid w:val="24273121"/>
    <w:rsid w:val="26832772"/>
    <w:rsid w:val="276342E4"/>
    <w:rsid w:val="2A6CD0A3"/>
    <w:rsid w:val="2A87E5FD"/>
    <w:rsid w:val="2BD3CC8E"/>
    <w:rsid w:val="2DA0B1ED"/>
    <w:rsid w:val="2E5A3AE4"/>
    <w:rsid w:val="369A922A"/>
    <w:rsid w:val="36D64858"/>
    <w:rsid w:val="36E3C930"/>
    <w:rsid w:val="371A1AFD"/>
    <w:rsid w:val="46E45FBE"/>
    <w:rsid w:val="48D9388B"/>
    <w:rsid w:val="5EF3A9F7"/>
    <w:rsid w:val="5FAFB695"/>
    <w:rsid w:val="656C2F12"/>
    <w:rsid w:val="657A7F24"/>
    <w:rsid w:val="69C87842"/>
    <w:rsid w:val="6D2909FF"/>
    <w:rsid w:val="72FAB464"/>
    <w:rsid w:val="745ACBFB"/>
    <w:rsid w:val="7EC3F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909FF"/>
  <w15:chartTrackingRefBased/>
  <w15:docId w15:val="{4981B4C2-4C2D-43ED-9211-E73F484C74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48D9388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8D9388B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uiPriority w:val="1"/>
    <w:name w:val="No Spacing"/>
    <w:qFormat/>
    <w:rsid w:val="369A922A"/>
    <w:pPr>
      <w:spacing w:after="0"/>
    </w:pPr>
  </w:style>
  <w:style w:type="paragraph" w:styleId="Heading1">
    <w:uiPriority w:val="9"/>
    <w:name w:val="heading 1"/>
    <w:basedOn w:val="Normal"/>
    <w:next w:val="Normal"/>
    <w:qFormat/>
    <w:rsid w:val="369A922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itle">
    <w:uiPriority w:val="10"/>
    <w:name w:val="Title"/>
    <w:basedOn w:val="Normal"/>
    <w:next w:val="Normal"/>
    <w:qFormat/>
    <w:rsid w:val="369A922A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c2fefd146fb428e" Type="http://schemas.openxmlformats.org/officeDocument/2006/relationships/header" Target="header.xml"/><Relationship Id="R6c96641882cb471b" Type="http://schemas.openxmlformats.org/officeDocument/2006/relationships/footer" Target="footer.xml"/><Relationship Id="rId6" Type="http://schemas.openxmlformats.org/officeDocument/2006/relationships/image" Target="media/image1.png"/></Relationships>
</file>

<file path=word/_rels/header.xml.rels><?xml version='1.0' encoding='UTF-8' standalone='yes'?>
<Relationships xmlns="http://schemas.openxmlformats.org/package/2006/relationships"><Relationship Id="rId819886945" Type="http://schemas.openxmlformats.org/officeDocument/2006/relationships/image" Target="../media/image3.png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rbe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2026-03-05T17:15:17.6388968Z</dcterms:created>
  <dcterms:modified xsi:type="dcterms:W3CDTF">2026-03-05T19:42:42.4534651Z</dcterms:modified>
  <dc:creator>Guilherme Souza</dc:creator>
  <lastModifiedBy>Guilherme Souza</lastModifiedBy>
</coreProperties>
</file>