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93252F" w14:textId="553829D2" w:rsidR="00E54C60" w:rsidRPr="00C22B1E" w:rsidRDefault="00B566BB" w:rsidP="00C22B1E">
      <w:pPr>
        <w:pStyle w:val="PargrafodaLista"/>
        <w:numPr>
          <w:ilvl w:val="0"/>
          <w:numId w:val="1"/>
        </w:numPr>
        <w:jc w:val="both"/>
        <w:rPr>
          <w:rFonts w:ascii="Montserrat" w:hAnsi="Montserrat"/>
          <w:b/>
          <w:bCs/>
          <w:sz w:val="24"/>
          <w:szCs w:val="24"/>
        </w:rPr>
      </w:pPr>
      <w:r>
        <w:rPr>
          <w:rFonts w:ascii="Montserrat" w:hAnsi="Montserrat"/>
          <w:b/>
          <w:bCs/>
          <w:sz w:val="24"/>
          <w:szCs w:val="24"/>
        </w:rPr>
        <w:t>Panorama Macroeconômico</w:t>
      </w:r>
    </w:p>
    <w:p w14:paraId="7279A0F0" w14:textId="06CCCF3B" w:rsidR="00C22B1E" w:rsidRPr="005A789C" w:rsidRDefault="003F60E1" w:rsidP="00C22B1E">
      <w:pPr>
        <w:jc w:val="both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t xml:space="preserve">O mês de março </w:t>
      </w:r>
      <w:r w:rsidR="00407575">
        <w:rPr>
          <w:rFonts w:ascii="Montserrat" w:hAnsi="Montserrat"/>
          <w:sz w:val="24"/>
          <w:szCs w:val="24"/>
        </w:rPr>
        <w:t>encerrou</w:t>
      </w:r>
      <w:r>
        <w:rPr>
          <w:rFonts w:ascii="Montserrat" w:hAnsi="Montserrat"/>
          <w:sz w:val="24"/>
          <w:szCs w:val="24"/>
        </w:rPr>
        <w:t xml:space="preserve"> de forma </w:t>
      </w:r>
      <w:r w:rsidR="00407575">
        <w:rPr>
          <w:rFonts w:ascii="Montserrat" w:hAnsi="Montserrat"/>
          <w:sz w:val="24"/>
          <w:szCs w:val="24"/>
        </w:rPr>
        <w:t xml:space="preserve">melhor do </w:t>
      </w:r>
      <w:r>
        <w:rPr>
          <w:rFonts w:ascii="Montserrat" w:hAnsi="Montserrat"/>
          <w:sz w:val="24"/>
          <w:szCs w:val="24"/>
        </w:rPr>
        <w:t xml:space="preserve">que </w:t>
      </w:r>
      <w:r w:rsidR="00407575">
        <w:rPr>
          <w:rFonts w:ascii="Montserrat" w:hAnsi="Montserrat"/>
          <w:sz w:val="24"/>
          <w:szCs w:val="24"/>
        </w:rPr>
        <w:t>começou</w:t>
      </w:r>
      <w:r w:rsidR="00852FB2">
        <w:rPr>
          <w:rFonts w:ascii="Montserrat" w:hAnsi="Montserrat"/>
          <w:sz w:val="24"/>
          <w:szCs w:val="24"/>
        </w:rPr>
        <w:t>.</w:t>
      </w:r>
      <w:r w:rsidR="00CD0435">
        <w:rPr>
          <w:rFonts w:ascii="Montserrat" w:hAnsi="Montserrat"/>
          <w:sz w:val="24"/>
          <w:szCs w:val="24"/>
        </w:rPr>
        <w:t xml:space="preserve"> O </w:t>
      </w:r>
      <w:r w:rsidR="003E0C31">
        <w:rPr>
          <w:rFonts w:ascii="Montserrat" w:hAnsi="Montserrat"/>
          <w:sz w:val="24"/>
          <w:szCs w:val="24"/>
        </w:rPr>
        <w:t>Brasil importou a volatilidade global advinda do conflito geopolítico no leste Europeu e isso foi sentido no desempenho dos ativos domésticos.</w:t>
      </w:r>
      <w:r w:rsidR="00ED5CB9">
        <w:rPr>
          <w:rFonts w:ascii="Montserrat" w:hAnsi="Montserrat"/>
          <w:sz w:val="24"/>
          <w:szCs w:val="24"/>
        </w:rPr>
        <w:t xml:space="preserve"> </w:t>
      </w:r>
      <w:r w:rsidR="00EF1BDD">
        <w:rPr>
          <w:rFonts w:ascii="Montserrat" w:hAnsi="Montserrat"/>
          <w:sz w:val="24"/>
          <w:szCs w:val="24"/>
        </w:rPr>
        <w:t>O mercado de renda fixa presenciou uma elevação nas taxas reais e nominais de juros em todos os vencimentos da curva.</w:t>
      </w:r>
      <w:r w:rsidR="003F3982">
        <w:rPr>
          <w:rFonts w:ascii="Montserrat" w:hAnsi="Montserrat"/>
          <w:sz w:val="24"/>
          <w:szCs w:val="24"/>
        </w:rPr>
        <w:t xml:space="preserve"> Até o dia 14/03 o Índice de Mercado A</w:t>
      </w:r>
      <w:r w:rsidR="00D140AA">
        <w:rPr>
          <w:rFonts w:ascii="Montserrat" w:hAnsi="Montserrat"/>
          <w:sz w:val="24"/>
          <w:szCs w:val="24"/>
        </w:rPr>
        <w:t xml:space="preserve">nbima – Geral (IMA-G) acumulava queda de 0,3%, </w:t>
      </w:r>
      <w:r w:rsidR="00E07390">
        <w:rPr>
          <w:rFonts w:ascii="Montserrat" w:hAnsi="Montserrat"/>
          <w:sz w:val="24"/>
          <w:szCs w:val="24"/>
        </w:rPr>
        <w:t>sendo que o pior desempenho era dos títulos prefixados de longo prazo (IRF-M 1+)</w:t>
      </w:r>
      <w:r w:rsidR="001641D6">
        <w:rPr>
          <w:rFonts w:ascii="Montserrat" w:hAnsi="Montserrat"/>
          <w:sz w:val="24"/>
          <w:szCs w:val="24"/>
        </w:rPr>
        <w:t>, -2,3%.</w:t>
      </w:r>
      <w:r w:rsidR="006D6478">
        <w:rPr>
          <w:rFonts w:ascii="Montserrat" w:hAnsi="Montserrat"/>
          <w:sz w:val="24"/>
          <w:szCs w:val="24"/>
        </w:rPr>
        <w:t xml:space="preserve"> Isso também foi sentido na renda variável. O Ibovespa até então acumulada queda de </w:t>
      </w:r>
      <w:r w:rsidR="00BE132A">
        <w:rPr>
          <w:rFonts w:ascii="Montserrat" w:hAnsi="Montserrat"/>
          <w:sz w:val="24"/>
          <w:szCs w:val="24"/>
        </w:rPr>
        <w:t>3,7%.</w:t>
      </w:r>
      <w:r w:rsidR="00BE132A" w:rsidRPr="00BE132A">
        <w:rPr>
          <w:rFonts w:ascii="Montserrat" w:hAnsi="Montserrat"/>
          <w:sz w:val="24"/>
          <w:szCs w:val="24"/>
        </w:rPr>
        <w:t xml:space="preserve"> </w:t>
      </w:r>
      <w:r w:rsidR="00BE132A">
        <w:rPr>
          <w:rFonts w:ascii="Montserrat" w:hAnsi="Montserrat"/>
          <w:sz w:val="24"/>
          <w:szCs w:val="24"/>
        </w:rPr>
        <w:t>Porém o ambiente global de aversão ao risco melhorou</w:t>
      </w:r>
      <w:r w:rsidR="000C688D">
        <w:rPr>
          <w:rFonts w:ascii="Montserrat" w:hAnsi="Montserrat"/>
          <w:sz w:val="24"/>
          <w:szCs w:val="24"/>
        </w:rPr>
        <w:t xml:space="preserve">. O IMA-G encerrou o mês com uma valorização de </w:t>
      </w:r>
      <w:r w:rsidR="008B170C">
        <w:rPr>
          <w:rFonts w:ascii="Montserrat" w:hAnsi="Montserrat"/>
          <w:sz w:val="24"/>
          <w:szCs w:val="24"/>
        </w:rPr>
        <w:t>1,6% e o Ibovespa de 6,1%. O fluxo de capitais para a economia brasileira permanece elevado</w:t>
      </w:r>
      <w:r w:rsidR="00454B91">
        <w:rPr>
          <w:rFonts w:ascii="Montserrat" w:hAnsi="Montserrat"/>
          <w:sz w:val="24"/>
          <w:szCs w:val="24"/>
        </w:rPr>
        <w:t>, tendo reflexos positivos nas</w:t>
      </w:r>
      <w:r w:rsidR="005A789C">
        <w:rPr>
          <w:rFonts w:ascii="Montserrat" w:hAnsi="Montserrat"/>
          <w:sz w:val="24"/>
          <w:szCs w:val="24"/>
        </w:rPr>
        <w:t xml:space="preserve"> </w:t>
      </w:r>
      <w:r w:rsidR="005A789C" w:rsidRPr="005A789C">
        <w:rPr>
          <w:rFonts w:ascii="Montserrat" w:hAnsi="Montserrat"/>
          <w:i/>
          <w:iCs/>
          <w:sz w:val="24"/>
          <w:szCs w:val="24"/>
        </w:rPr>
        <w:t>blue chips</w:t>
      </w:r>
      <w:r w:rsidR="005A789C">
        <w:rPr>
          <w:rFonts w:ascii="Montserrat" w:hAnsi="Montserrat"/>
          <w:i/>
          <w:iCs/>
          <w:sz w:val="24"/>
          <w:szCs w:val="24"/>
        </w:rPr>
        <w:t xml:space="preserve"> </w:t>
      </w:r>
      <w:r w:rsidR="005A789C">
        <w:rPr>
          <w:rFonts w:ascii="Montserrat" w:hAnsi="Montserrat"/>
          <w:sz w:val="24"/>
          <w:szCs w:val="24"/>
        </w:rPr>
        <w:t>da B3 e no desempenho do Real perante ao Dólar. Por outro lado, apesar da marginal queda</w:t>
      </w:r>
      <w:r w:rsidR="006108D4">
        <w:rPr>
          <w:rFonts w:ascii="Montserrat" w:hAnsi="Montserrat"/>
          <w:sz w:val="24"/>
          <w:szCs w:val="24"/>
        </w:rPr>
        <w:t xml:space="preserve"> das expectativas de taxa Selic e inflação para final de 2022, ainda ambos estão em um patamar elevado. Atualmente o mercado espera uma Selic de 13% e um IPCA de 8%.</w:t>
      </w:r>
    </w:p>
    <w:p w14:paraId="1CE9F367" w14:textId="77777777" w:rsidR="00B566BB" w:rsidRDefault="00B566BB" w:rsidP="00C22B1E">
      <w:pPr>
        <w:jc w:val="both"/>
        <w:rPr>
          <w:rFonts w:ascii="Montserrat" w:hAnsi="Montserrat"/>
          <w:sz w:val="24"/>
          <w:szCs w:val="24"/>
        </w:rPr>
      </w:pPr>
    </w:p>
    <w:p w14:paraId="13823957" w14:textId="77777777" w:rsidR="00B566BB" w:rsidRPr="00C22B1E" w:rsidRDefault="00B566BB" w:rsidP="00B566BB">
      <w:pPr>
        <w:pStyle w:val="PargrafodaLista"/>
        <w:numPr>
          <w:ilvl w:val="0"/>
          <w:numId w:val="1"/>
        </w:numPr>
        <w:jc w:val="both"/>
        <w:rPr>
          <w:rFonts w:ascii="Montserrat" w:hAnsi="Montserrat"/>
          <w:b/>
          <w:bCs/>
          <w:sz w:val="24"/>
          <w:szCs w:val="24"/>
        </w:rPr>
      </w:pPr>
      <w:r w:rsidRPr="00C22B1E">
        <w:rPr>
          <w:rFonts w:ascii="Montserrat" w:hAnsi="Montserrat"/>
          <w:b/>
          <w:bCs/>
          <w:sz w:val="24"/>
          <w:szCs w:val="24"/>
        </w:rPr>
        <w:t>4UM Inflação IMA-B 5 / IMA-B 5+ FIRF</w:t>
      </w:r>
    </w:p>
    <w:p w14:paraId="05DE6DD0" w14:textId="77777777" w:rsidR="00B566BB" w:rsidRPr="00C22B1E" w:rsidRDefault="00B566BB" w:rsidP="00B566BB">
      <w:pPr>
        <w:jc w:val="both"/>
        <w:rPr>
          <w:rFonts w:ascii="Montserrat" w:hAnsi="Montserrat"/>
          <w:sz w:val="24"/>
          <w:szCs w:val="24"/>
        </w:rPr>
      </w:pPr>
      <w:r w:rsidRPr="00C22B1E">
        <w:rPr>
          <w:rFonts w:ascii="Montserrat" w:hAnsi="Montserrat"/>
          <w:sz w:val="24"/>
          <w:szCs w:val="24"/>
        </w:rPr>
        <w:t xml:space="preserve">O 4UM Inflação IMA-B 5 FIRF encerrou o mês de </w:t>
      </w:r>
      <w:r>
        <w:rPr>
          <w:rFonts w:ascii="Montserrat" w:hAnsi="Montserrat"/>
          <w:sz w:val="24"/>
          <w:szCs w:val="24"/>
        </w:rPr>
        <w:t>março</w:t>
      </w:r>
      <w:r w:rsidRPr="00C22B1E">
        <w:rPr>
          <w:rFonts w:ascii="Montserrat" w:hAnsi="Montserrat"/>
          <w:sz w:val="24"/>
          <w:szCs w:val="24"/>
        </w:rPr>
        <w:t xml:space="preserve"> de 2022 com um desempenho de </w:t>
      </w:r>
      <w:r>
        <w:rPr>
          <w:rFonts w:ascii="Montserrat" w:hAnsi="Montserrat"/>
          <w:sz w:val="24"/>
          <w:szCs w:val="24"/>
        </w:rPr>
        <w:t>2,59</w:t>
      </w:r>
      <w:r w:rsidRPr="00C22B1E">
        <w:rPr>
          <w:rFonts w:ascii="Montserrat" w:hAnsi="Montserrat"/>
          <w:sz w:val="24"/>
          <w:szCs w:val="24"/>
        </w:rPr>
        <w:t xml:space="preserve">%. O benchmark do fundo, IMA-B 5, teve uma alta de </w:t>
      </w:r>
      <w:r>
        <w:rPr>
          <w:rFonts w:ascii="Montserrat" w:hAnsi="Montserrat"/>
          <w:sz w:val="24"/>
          <w:szCs w:val="24"/>
        </w:rPr>
        <w:t>2</w:t>
      </w:r>
      <w:r w:rsidRPr="00C22B1E">
        <w:rPr>
          <w:rFonts w:ascii="Montserrat" w:hAnsi="Montserrat"/>
          <w:sz w:val="24"/>
          <w:szCs w:val="24"/>
        </w:rPr>
        <w:t>,</w:t>
      </w:r>
      <w:r>
        <w:rPr>
          <w:rFonts w:ascii="Montserrat" w:hAnsi="Montserrat"/>
          <w:sz w:val="24"/>
          <w:szCs w:val="24"/>
        </w:rPr>
        <w:t>61</w:t>
      </w:r>
      <w:r w:rsidRPr="00C22B1E">
        <w:rPr>
          <w:rFonts w:ascii="Montserrat" w:hAnsi="Montserrat"/>
          <w:sz w:val="24"/>
          <w:szCs w:val="24"/>
        </w:rPr>
        <w:t xml:space="preserve">%. </w:t>
      </w:r>
      <w:r>
        <w:rPr>
          <w:rFonts w:ascii="Montserrat" w:hAnsi="Montserrat"/>
          <w:sz w:val="24"/>
          <w:szCs w:val="24"/>
        </w:rPr>
        <w:t>O</w:t>
      </w:r>
      <w:r w:rsidRPr="00C22B1E">
        <w:rPr>
          <w:rFonts w:ascii="Montserrat" w:hAnsi="Montserrat"/>
          <w:sz w:val="24"/>
          <w:szCs w:val="24"/>
        </w:rPr>
        <w:t xml:space="preserve"> IMA-B 5+ </w:t>
      </w:r>
      <w:r>
        <w:rPr>
          <w:rFonts w:ascii="Montserrat" w:hAnsi="Montserrat"/>
          <w:sz w:val="24"/>
          <w:szCs w:val="24"/>
        </w:rPr>
        <w:t>performou 3,56</w:t>
      </w:r>
      <w:r w:rsidRPr="00C22B1E">
        <w:rPr>
          <w:rFonts w:ascii="Montserrat" w:hAnsi="Montserrat"/>
          <w:sz w:val="24"/>
          <w:szCs w:val="24"/>
        </w:rPr>
        <w:t>% no mesmo período.</w:t>
      </w:r>
      <w:r>
        <w:rPr>
          <w:rFonts w:ascii="Montserrat" w:hAnsi="Montserrat"/>
          <w:sz w:val="24"/>
          <w:szCs w:val="24"/>
        </w:rPr>
        <w:t xml:space="preserve"> No ano, o desempenho do fundo é de 3,53% e do benchmark é de 3,81%. Já a performance do IMA-B 5+ é de 1,91%.</w:t>
      </w:r>
      <w:r w:rsidRPr="00C22B1E">
        <w:rPr>
          <w:rFonts w:ascii="Montserrat" w:hAnsi="Montserrat"/>
          <w:sz w:val="24"/>
          <w:szCs w:val="24"/>
        </w:rPr>
        <w:t xml:space="preserve"> Ressaltamos que em setembro de 2021 alteramos o benchmark do fundo, anteriormente IMA-B para posteriormente o IMA-B 5. As estatísticas do 4UM Inflação IMA-B 5 e 4UM Inflação IMA-B 5+ estavam da seguinte forma no final de </w:t>
      </w:r>
      <w:r>
        <w:rPr>
          <w:rFonts w:ascii="Montserrat" w:hAnsi="Montserrat"/>
          <w:sz w:val="24"/>
          <w:szCs w:val="24"/>
        </w:rPr>
        <w:t>março</w:t>
      </w:r>
      <w:r w:rsidRPr="00C22B1E">
        <w:rPr>
          <w:rFonts w:ascii="Montserrat" w:hAnsi="Montserrat"/>
          <w:sz w:val="24"/>
          <w:szCs w:val="24"/>
        </w:rPr>
        <w:t xml:space="preserve"> de 2022: a taxa real de carrego acima da inflação da carteira do 4UM Inflação IMA-B 5 estava em 5,</w:t>
      </w:r>
      <w:r>
        <w:rPr>
          <w:rFonts w:ascii="Montserrat" w:hAnsi="Montserrat"/>
          <w:sz w:val="24"/>
          <w:szCs w:val="24"/>
        </w:rPr>
        <w:t>2</w:t>
      </w:r>
      <w:r w:rsidRPr="00C22B1E">
        <w:rPr>
          <w:rFonts w:ascii="Montserrat" w:hAnsi="Montserrat"/>
          <w:sz w:val="24"/>
          <w:szCs w:val="24"/>
        </w:rPr>
        <w:t xml:space="preserve">% ao ano, enquanto seu benchmark, o IMA-B 5, estava com uma taxa de </w:t>
      </w:r>
      <w:r>
        <w:rPr>
          <w:rFonts w:ascii="Montserrat" w:hAnsi="Montserrat"/>
          <w:sz w:val="24"/>
          <w:szCs w:val="24"/>
        </w:rPr>
        <w:t>5</w:t>
      </w:r>
      <w:r w:rsidRPr="00C22B1E">
        <w:rPr>
          <w:rFonts w:ascii="Montserrat" w:hAnsi="Montserrat"/>
          <w:sz w:val="24"/>
          <w:szCs w:val="24"/>
        </w:rPr>
        <w:t>,</w:t>
      </w:r>
      <w:r>
        <w:rPr>
          <w:rFonts w:ascii="Montserrat" w:hAnsi="Montserrat"/>
          <w:sz w:val="24"/>
          <w:szCs w:val="24"/>
        </w:rPr>
        <w:t>4</w:t>
      </w:r>
      <w:r w:rsidRPr="00C22B1E">
        <w:rPr>
          <w:rFonts w:ascii="Montserrat" w:hAnsi="Montserrat"/>
          <w:sz w:val="24"/>
          <w:szCs w:val="24"/>
        </w:rPr>
        <w:t>%. No fundo 4UM Inflação IMA-B 5+ a taxa real era de 5,</w:t>
      </w:r>
      <w:r>
        <w:rPr>
          <w:rFonts w:ascii="Montserrat" w:hAnsi="Montserrat"/>
          <w:sz w:val="24"/>
          <w:szCs w:val="24"/>
        </w:rPr>
        <w:t>5</w:t>
      </w:r>
      <w:r w:rsidRPr="00C22B1E">
        <w:rPr>
          <w:rFonts w:ascii="Montserrat" w:hAnsi="Montserrat"/>
          <w:sz w:val="24"/>
          <w:szCs w:val="24"/>
        </w:rPr>
        <w:t>%, enquanto o IMA-B 5+ estava em 5,</w:t>
      </w:r>
      <w:r>
        <w:rPr>
          <w:rFonts w:ascii="Montserrat" w:hAnsi="Montserrat"/>
          <w:sz w:val="24"/>
          <w:szCs w:val="24"/>
        </w:rPr>
        <w:t>5</w:t>
      </w:r>
      <w:r w:rsidRPr="00C22B1E">
        <w:rPr>
          <w:rFonts w:ascii="Montserrat" w:hAnsi="Montserrat"/>
          <w:sz w:val="24"/>
          <w:szCs w:val="24"/>
        </w:rPr>
        <w:t>%. Em relação à duration das carteiras, o 4UM Inflação IMA-B 5 e seu benchmark, o IMA-B 5, estavam em torno de 2 anos. Na carteira do 4UM Inflação IMA-B 5+ e o IMA-B 5+, as durations estavam em torno de 11,</w:t>
      </w:r>
      <w:r>
        <w:rPr>
          <w:rFonts w:ascii="Montserrat" w:hAnsi="Montserrat"/>
          <w:sz w:val="24"/>
          <w:szCs w:val="24"/>
        </w:rPr>
        <w:t>0</w:t>
      </w:r>
      <w:r w:rsidRPr="00C22B1E">
        <w:rPr>
          <w:rFonts w:ascii="Montserrat" w:hAnsi="Montserrat"/>
          <w:sz w:val="24"/>
          <w:szCs w:val="24"/>
        </w:rPr>
        <w:t xml:space="preserve"> e 11,</w:t>
      </w:r>
      <w:r>
        <w:rPr>
          <w:rFonts w:ascii="Montserrat" w:hAnsi="Montserrat"/>
          <w:sz w:val="24"/>
          <w:szCs w:val="24"/>
        </w:rPr>
        <w:t>4</w:t>
      </w:r>
      <w:r w:rsidRPr="00C22B1E">
        <w:rPr>
          <w:rFonts w:ascii="Montserrat" w:hAnsi="Montserrat"/>
          <w:sz w:val="24"/>
          <w:szCs w:val="24"/>
        </w:rPr>
        <w:t xml:space="preserve"> anos. Em termos de alocação, o 4UM Inflação IMA-B 5 está posicionado em NTN-B 2023 e NTN-B 2024, com um peso de 2</w:t>
      </w:r>
      <w:r>
        <w:rPr>
          <w:rFonts w:ascii="Montserrat" w:hAnsi="Montserrat"/>
          <w:sz w:val="24"/>
          <w:szCs w:val="24"/>
        </w:rPr>
        <w:t>3</w:t>
      </w:r>
      <w:r w:rsidRPr="00C22B1E">
        <w:rPr>
          <w:rFonts w:ascii="Montserrat" w:hAnsi="Montserrat"/>
          <w:sz w:val="24"/>
          <w:szCs w:val="24"/>
        </w:rPr>
        <w:t>% e 7</w:t>
      </w:r>
      <w:r>
        <w:rPr>
          <w:rFonts w:ascii="Montserrat" w:hAnsi="Montserrat"/>
          <w:sz w:val="24"/>
          <w:szCs w:val="24"/>
        </w:rPr>
        <w:t>3</w:t>
      </w:r>
      <w:r w:rsidRPr="00C22B1E">
        <w:rPr>
          <w:rFonts w:ascii="Montserrat" w:hAnsi="Montserrat"/>
          <w:sz w:val="24"/>
          <w:szCs w:val="24"/>
        </w:rPr>
        <w:t xml:space="preserve">%, respectivamente e mantendo </w:t>
      </w:r>
      <w:r>
        <w:rPr>
          <w:rFonts w:ascii="Montserrat" w:hAnsi="Montserrat"/>
          <w:sz w:val="24"/>
          <w:szCs w:val="24"/>
        </w:rPr>
        <w:t>4</w:t>
      </w:r>
      <w:r w:rsidRPr="00C22B1E">
        <w:rPr>
          <w:rFonts w:ascii="Montserrat" w:hAnsi="Montserrat"/>
          <w:sz w:val="24"/>
          <w:szCs w:val="24"/>
        </w:rPr>
        <w:t>% em caixa. O 4UM Inflação IMA-B 5+ está posicionado em NTN-B 2035 e NTN-B 2040, com um peso de 4% e 9</w:t>
      </w:r>
      <w:r>
        <w:rPr>
          <w:rFonts w:ascii="Montserrat" w:hAnsi="Montserrat"/>
          <w:sz w:val="24"/>
          <w:szCs w:val="24"/>
        </w:rPr>
        <w:t>5</w:t>
      </w:r>
      <w:r w:rsidRPr="00C22B1E">
        <w:rPr>
          <w:rFonts w:ascii="Montserrat" w:hAnsi="Montserrat"/>
          <w:sz w:val="24"/>
          <w:szCs w:val="24"/>
        </w:rPr>
        <w:t xml:space="preserve">%, respectivamente e mantendo </w:t>
      </w:r>
      <w:r>
        <w:rPr>
          <w:rFonts w:ascii="Montserrat" w:hAnsi="Montserrat"/>
          <w:sz w:val="24"/>
          <w:szCs w:val="24"/>
        </w:rPr>
        <w:t>1</w:t>
      </w:r>
      <w:r w:rsidRPr="00C22B1E">
        <w:rPr>
          <w:rFonts w:ascii="Montserrat" w:hAnsi="Montserrat"/>
          <w:sz w:val="24"/>
          <w:szCs w:val="24"/>
        </w:rPr>
        <w:t>% em caixa.</w:t>
      </w:r>
    </w:p>
    <w:p w14:paraId="5BE8F816" w14:textId="77777777" w:rsidR="00B566BB" w:rsidRPr="00C22B1E" w:rsidRDefault="00B566BB" w:rsidP="00C22B1E">
      <w:pPr>
        <w:jc w:val="both"/>
        <w:rPr>
          <w:rFonts w:ascii="Montserrat" w:hAnsi="Montserrat"/>
          <w:sz w:val="24"/>
          <w:szCs w:val="24"/>
        </w:rPr>
      </w:pPr>
    </w:p>
    <w:sectPr w:rsidR="00B566BB" w:rsidRPr="00C22B1E" w:rsidSect="00C22B1E">
      <w:pgSz w:w="11906" w:h="16838"/>
      <w:pgMar w:top="851" w:right="851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tserrat">
    <w:altName w:val="Montserrat"/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0A5E3F"/>
    <w:multiLevelType w:val="hybridMultilevel"/>
    <w:tmpl w:val="CCE4C4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B1E"/>
    <w:rsid w:val="000C688D"/>
    <w:rsid w:val="001641D6"/>
    <w:rsid w:val="003D4EDD"/>
    <w:rsid w:val="003E0C31"/>
    <w:rsid w:val="003F3982"/>
    <w:rsid w:val="003F60E1"/>
    <w:rsid w:val="00407575"/>
    <w:rsid w:val="00454B91"/>
    <w:rsid w:val="00475354"/>
    <w:rsid w:val="005A789C"/>
    <w:rsid w:val="006108D4"/>
    <w:rsid w:val="006D6478"/>
    <w:rsid w:val="00852FB2"/>
    <w:rsid w:val="008B170C"/>
    <w:rsid w:val="00B566BB"/>
    <w:rsid w:val="00BE132A"/>
    <w:rsid w:val="00C22B1E"/>
    <w:rsid w:val="00CD0435"/>
    <w:rsid w:val="00D140AA"/>
    <w:rsid w:val="00E07390"/>
    <w:rsid w:val="00E54C60"/>
    <w:rsid w:val="00ED5CB9"/>
    <w:rsid w:val="00EF1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5D12F"/>
  <w15:chartTrackingRefBased/>
  <w15:docId w15:val="{1F42015E-C8F8-43A2-8E67-376E52D78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22B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379</Words>
  <Characters>2050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Micota Stipp</dc:creator>
  <cp:keywords/>
  <dc:description/>
  <cp:lastModifiedBy>Guilherme Micota Stipp</cp:lastModifiedBy>
  <cp:revision>20</cp:revision>
  <dcterms:created xsi:type="dcterms:W3CDTF">2022-04-04T19:00:00Z</dcterms:created>
  <dcterms:modified xsi:type="dcterms:W3CDTF">2022-04-04T19:44:00Z</dcterms:modified>
</cp:coreProperties>
</file>