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B90A2" w14:textId="401199C9" w:rsidR="00292A94" w:rsidRPr="006F54BD" w:rsidRDefault="00292A94" w:rsidP="00292A94">
      <w:pPr>
        <w:jc w:val="both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PANORAMA MACROECONÔMICO</w:t>
      </w:r>
      <w:r w:rsidR="00BE770B">
        <w:rPr>
          <w:rFonts w:ascii="Montserrat" w:hAnsi="Montserrat"/>
          <w:b/>
          <w:bCs/>
        </w:rPr>
        <w:t xml:space="preserve"> (RESUMO)</w:t>
      </w:r>
    </w:p>
    <w:p w14:paraId="57C9EF16" w14:textId="463FCF76" w:rsidR="00292A94" w:rsidRPr="006F54BD" w:rsidRDefault="00292A94" w:rsidP="00AB4024">
      <w:pPr>
        <w:jc w:val="both"/>
        <w:rPr>
          <w:rFonts w:ascii="Montserrat" w:hAnsi="Montserrat"/>
        </w:rPr>
      </w:pPr>
      <w:r>
        <w:rPr>
          <w:rFonts w:ascii="Montserrat" w:hAnsi="Montserrat"/>
        </w:rPr>
        <w:t>A política monetária global alterou-se drasticamente nos últimos meses. Nas economias avançadas,</w:t>
      </w:r>
      <w:r w:rsidR="00AB4024" w:rsidRPr="00AB4024">
        <w:t xml:space="preserve"> </w:t>
      </w:r>
      <w:r w:rsidR="00AB4024">
        <w:rPr>
          <w:rFonts w:ascii="Montserrat" w:hAnsi="Montserrat"/>
        </w:rPr>
        <w:t>o</w:t>
      </w:r>
      <w:r w:rsidR="00AB4024" w:rsidRPr="00AB4024">
        <w:rPr>
          <w:rFonts w:ascii="Montserrat" w:hAnsi="Montserrat"/>
        </w:rPr>
        <w:t xml:space="preserve"> processo inflacionário global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mostrou-se persistente ao longo dos últimos meses, diferente do previamente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esperado pelo mercado global, onde o pico seria no fim do ano passado.</w:t>
      </w:r>
      <w:r w:rsidR="00AB4024" w:rsidRPr="00AB4024">
        <w:t xml:space="preserve"> </w:t>
      </w:r>
      <w:r w:rsidR="00AB4024">
        <w:rPr>
          <w:rFonts w:ascii="Montserrat" w:hAnsi="Montserrat"/>
        </w:rPr>
        <w:t>O</w:t>
      </w:r>
      <w:r w:rsidR="00AB4024" w:rsidRPr="00AB4024">
        <w:rPr>
          <w:rFonts w:ascii="Montserrat" w:hAnsi="Montserrat"/>
        </w:rPr>
        <w:t>s bancos centrais estão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avançando no processo de normalização da política monetária para um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território contracionista. No caso do Federal Reserve (Fed, banco central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norte-americano), a taxa alvo dos Fed Funds foi elevada de 50 pontos-base na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última reunião, no dia 04/05/2022, para o intervalo de 0,75% a 1,00%. O mercado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norte-americano espera que até o final de 2022, a taxa de juros chegue no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patamar de 3%. Em paralelo a esse fato, o Fed também está reduzindo o nível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do seu balanço patrimonial de liquidez injetado mensalmente nos mercados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financeiros norte-americano, chamado de quantitative tightening (QT). Será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 xml:space="preserve">vendido mensalmente US$ 30 bilhões em Treasuries </w:t>
      </w:r>
      <w:r w:rsidR="00AD0A9D">
        <w:rPr>
          <w:rFonts w:ascii="Montserrat" w:hAnsi="Montserrat"/>
        </w:rPr>
        <w:t>e</w:t>
      </w:r>
      <w:r w:rsidR="00AB4024" w:rsidRPr="00AB4024">
        <w:rPr>
          <w:rFonts w:ascii="Montserrat" w:hAnsi="Montserrat"/>
        </w:rPr>
        <w:t xml:space="preserve"> US$ 17 bilhões mensais </w:t>
      </w:r>
      <w:r w:rsidR="004E7351">
        <w:rPr>
          <w:rFonts w:ascii="Montserrat" w:hAnsi="Montserrat"/>
        </w:rPr>
        <w:t xml:space="preserve">de </w:t>
      </w:r>
      <w:r w:rsidR="00AD0A9D" w:rsidRPr="00AB4024">
        <w:rPr>
          <w:rFonts w:ascii="Montserrat" w:hAnsi="Montserrat"/>
        </w:rPr>
        <w:t>mortgage-backed securities</w:t>
      </w:r>
      <w:r w:rsidR="00AB4024" w:rsidRPr="00AB4024">
        <w:rPr>
          <w:rFonts w:ascii="Montserrat" w:hAnsi="Montserrat"/>
        </w:rPr>
        <w:t>.</w:t>
      </w:r>
      <w:r w:rsidR="00AB4024" w:rsidRPr="00AB4024">
        <w:t xml:space="preserve"> </w:t>
      </w:r>
      <w:r w:rsidR="00AB4024" w:rsidRPr="00AB4024">
        <w:rPr>
          <w:rFonts w:ascii="Montserrat" w:hAnsi="Montserrat"/>
        </w:rPr>
        <w:t>No Brasil, a inflação ao consumidor medida pelo Índice Nacional de Preços ao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Consumidor Amplo (IPCA) continua apresentando uma deterioração significativa. O IPCA anual encerrado em março está em 11%. Dessa taxa, 4 p.p. são do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grupo preços administrados, 3 p.p. de preços industriais, 2 p.p. dos alimentos e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2 p.p. dos preços de serviços. Isso demonstra de fato que o processo de inflação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está difundido em diversas categorias de preços. Em 2022, na média 75% dos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subitens do IPCA estão tendo uma elevação, contra uma taxa de 66% em 2021.</w:t>
      </w:r>
      <w:r w:rsidR="00AB4024" w:rsidRPr="00AB4024">
        <w:t xml:space="preserve"> </w:t>
      </w:r>
      <w:r w:rsidR="00AB4024" w:rsidRPr="00AB4024">
        <w:rPr>
          <w:rFonts w:ascii="Montserrat" w:hAnsi="Montserrat"/>
        </w:rPr>
        <w:t xml:space="preserve">O BCB </w:t>
      </w:r>
      <w:r w:rsidR="008E4DDC">
        <w:rPr>
          <w:rFonts w:ascii="Montserrat" w:hAnsi="Montserrat"/>
        </w:rPr>
        <w:t xml:space="preserve">elevou a Selic para 12,75% na última reunião e </w:t>
      </w:r>
      <w:r w:rsidR="00AB4024" w:rsidRPr="00AB4024">
        <w:rPr>
          <w:rFonts w:ascii="Montserrat" w:hAnsi="Montserrat"/>
        </w:rPr>
        <w:t>ressaltou no comunicado após o Copom, que na avaliação do comitê o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balanço prospectivo para a inflação é simétrico, ou seja, existem riscos altistas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e baixistas para os preços de magnitudes proporcionais. Em nossa avaliação, o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comitê equivoca-se. Atualmente, o balanço inflacionário é assimétrico para o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risco ainda mais altista de preços. Acreditamos que o BCB tenha sido leniente com a atual conjuntura inflacionária em sua comunicação. Além disso, não acreditamos que o BCB conseguirá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cumprir a meta de inflação estipulada para 2022 e cada vez mais cria-se condições para o não cumprimento também em 2023. Nossas expectativas atuais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para o IPCA estão em 9,3% para 2022 e 4,2% para 2023. Atualmente esperamos que o Copom elevará a Selic em 0,75 p.p. na reunião do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dia 15/06/2022 e mais 0,25 p.p. na reunião de 03/08/2022. Encerrando o ciclo de</w:t>
      </w:r>
      <w:r w:rsidR="00AB4024">
        <w:rPr>
          <w:rFonts w:ascii="Montserrat" w:hAnsi="Montserrat"/>
        </w:rPr>
        <w:t xml:space="preserve"> </w:t>
      </w:r>
      <w:r w:rsidR="00AB4024" w:rsidRPr="00AB4024">
        <w:rPr>
          <w:rFonts w:ascii="Montserrat" w:hAnsi="Montserrat"/>
        </w:rPr>
        <w:t>alta em 13,75%.</w:t>
      </w:r>
    </w:p>
    <w:p w14:paraId="7C1B57BA" w14:textId="77777777" w:rsidR="00AB4024" w:rsidRDefault="00AB4024" w:rsidP="006F54BD">
      <w:pPr>
        <w:jc w:val="both"/>
        <w:rPr>
          <w:rFonts w:ascii="Montserrat" w:hAnsi="Montserrat"/>
          <w:b/>
          <w:bCs/>
        </w:rPr>
      </w:pPr>
    </w:p>
    <w:p w14:paraId="6D198ABD" w14:textId="0BAEE0E2" w:rsidR="006F54BD" w:rsidRPr="006F54BD" w:rsidRDefault="006F54BD" w:rsidP="006F54BD">
      <w:pPr>
        <w:jc w:val="both"/>
        <w:rPr>
          <w:rFonts w:ascii="Montserrat" w:hAnsi="Montserrat"/>
          <w:b/>
          <w:bCs/>
        </w:rPr>
      </w:pPr>
      <w:r w:rsidRPr="006F54BD">
        <w:rPr>
          <w:rFonts w:ascii="Montserrat" w:hAnsi="Montserrat"/>
          <w:b/>
          <w:bCs/>
        </w:rPr>
        <w:t>4UM IMA-B 5 FIRF</w:t>
      </w:r>
    </w:p>
    <w:p w14:paraId="112763D5" w14:textId="5840B7BD" w:rsidR="006F54BD" w:rsidRPr="006F54BD" w:rsidRDefault="006F54BD" w:rsidP="006F54BD">
      <w:pPr>
        <w:jc w:val="both"/>
        <w:rPr>
          <w:rFonts w:ascii="Montserrat" w:hAnsi="Montserrat"/>
        </w:rPr>
      </w:pPr>
      <w:r w:rsidRPr="006F54BD">
        <w:rPr>
          <w:rFonts w:ascii="Montserrat" w:hAnsi="Montserrat"/>
        </w:rPr>
        <w:t xml:space="preserve">O 4UM Inflação IMA-B 5 FIRF encerrou o mês de </w:t>
      </w:r>
      <w:r>
        <w:rPr>
          <w:rFonts w:ascii="Montserrat" w:hAnsi="Montserrat"/>
        </w:rPr>
        <w:t>abril</w:t>
      </w:r>
      <w:r w:rsidRPr="006F54BD">
        <w:rPr>
          <w:rFonts w:ascii="Montserrat" w:hAnsi="Montserrat"/>
        </w:rPr>
        <w:t xml:space="preserve"> de 2022 com um desempenho de </w:t>
      </w:r>
      <w:r>
        <w:rPr>
          <w:rFonts w:ascii="Montserrat" w:hAnsi="Montserrat"/>
        </w:rPr>
        <w:t>1,30</w:t>
      </w:r>
      <w:r w:rsidRPr="006F54BD">
        <w:rPr>
          <w:rFonts w:ascii="Montserrat" w:hAnsi="Montserrat"/>
        </w:rPr>
        <w:t xml:space="preserve">%. O benchmark do fundo, IMA-B 5, teve uma alta de </w:t>
      </w:r>
      <w:r>
        <w:rPr>
          <w:rFonts w:ascii="Montserrat" w:hAnsi="Montserrat"/>
        </w:rPr>
        <w:t>1,56</w:t>
      </w:r>
      <w:r w:rsidRPr="006F54BD">
        <w:rPr>
          <w:rFonts w:ascii="Montserrat" w:hAnsi="Montserrat"/>
        </w:rPr>
        <w:t xml:space="preserve">%. No ano, o desempenho do fundo é de </w:t>
      </w:r>
      <w:r>
        <w:rPr>
          <w:rFonts w:ascii="Montserrat" w:hAnsi="Montserrat"/>
        </w:rPr>
        <w:t>4,88</w:t>
      </w:r>
      <w:r w:rsidRPr="006F54BD">
        <w:rPr>
          <w:rFonts w:ascii="Montserrat" w:hAnsi="Montserrat"/>
        </w:rPr>
        <w:t xml:space="preserve">% e do benchmark é de </w:t>
      </w:r>
      <w:r>
        <w:rPr>
          <w:rFonts w:ascii="Montserrat" w:hAnsi="Montserrat"/>
        </w:rPr>
        <w:t>5,43</w:t>
      </w:r>
      <w:r w:rsidRPr="006F54BD">
        <w:rPr>
          <w:rFonts w:ascii="Montserrat" w:hAnsi="Montserrat"/>
        </w:rPr>
        <w:t>%.</w:t>
      </w:r>
    </w:p>
    <w:p w14:paraId="7646D35E" w14:textId="02D23C52" w:rsidR="006F54BD" w:rsidRPr="006F54BD" w:rsidRDefault="006F54BD" w:rsidP="006F54BD">
      <w:pPr>
        <w:jc w:val="both"/>
        <w:rPr>
          <w:rFonts w:ascii="Montserrat" w:hAnsi="Montserrat"/>
        </w:rPr>
      </w:pPr>
      <w:r w:rsidRPr="006F54BD">
        <w:rPr>
          <w:rFonts w:ascii="Montserrat" w:hAnsi="Montserrat"/>
        </w:rPr>
        <w:t>As estatísticas do 4UM Inflação IMA-B 5 estava da seguinte forma no final de março de 2022: a taxa real de carrego acima da inflação da carteira estava em 5,</w:t>
      </w:r>
      <w:r w:rsidR="00292A94">
        <w:rPr>
          <w:rFonts w:ascii="Montserrat" w:hAnsi="Montserrat"/>
        </w:rPr>
        <w:t>4</w:t>
      </w:r>
      <w:r w:rsidRPr="006F54BD">
        <w:rPr>
          <w:rFonts w:ascii="Montserrat" w:hAnsi="Montserrat"/>
        </w:rPr>
        <w:t>% ao ano, enquanto seu benchmark, o IMA-B 5, estava com uma taxa de 5,</w:t>
      </w:r>
      <w:r w:rsidR="00292A94">
        <w:rPr>
          <w:rFonts w:ascii="Montserrat" w:hAnsi="Montserrat"/>
        </w:rPr>
        <w:t>3</w:t>
      </w:r>
      <w:r w:rsidRPr="006F54BD">
        <w:rPr>
          <w:rFonts w:ascii="Montserrat" w:hAnsi="Montserrat"/>
        </w:rPr>
        <w:t>%. Em relação à duration da carteira, o 4UM Inflação IMA-B 5 e seu benchmark, o IMA-B 5, estavam em torno de 2 anos. Em termos de alocação, o fundo está posicionado em NTN-B 2023 e NTN-B 2024, com um peso de 2</w:t>
      </w:r>
      <w:r w:rsidR="00292A94">
        <w:rPr>
          <w:rFonts w:ascii="Montserrat" w:hAnsi="Montserrat"/>
        </w:rPr>
        <w:t>2</w:t>
      </w:r>
      <w:r w:rsidRPr="006F54BD">
        <w:rPr>
          <w:rFonts w:ascii="Montserrat" w:hAnsi="Montserrat"/>
        </w:rPr>
        <w:t>% e 7</w:t>
      </w:r>
      <w:r w:rsidR="00292A94">
        <w:rPr>
          <w:rFonts w:ascii="Montserrat" w:hAnsi="Montserrat"/>
        </w:rPr>
        <w:t>6</w:t>
      </w:r>
      <w:r w:rsidRPr="006F54BD">
        <w:rPr>
          <w:rFonts w:ascii="Montserrat" w:hAnsi="Montserrat"/>
        </w:rPr>
        <w:t xml:space="preserve">%, respectivamente e mantendo </w:t>
      </w:r>
      <w:r w:rsidR="00292A94">
        <w:rPr>
          <w:rFonts w:ascii="Montserrat" w:hAnsi="Montserrat"/>
        </w:rPr>
        <w:t>2</w:t>
      </w:r>
      <w:r w:rsidRPr="006F54BD">
        <w:rPr>
          <w:rFonts w:ascii="Montserrat" w:hAnsi="Montserrat"/>
        </w:rPr>
        <w:t>% em caixa.</w:t>
      </w:r>
    </w:p>
    <w:p w14:paraId="13E9AE85" w14:textId="77777777" w:rsidR="006F54BD" w:rsidRDefault="006F54BD" w:rsidP="006F54BD">
      <w:pPr>
        <w:jc w:val="both"/>
        <w:rPr>
          <w:rFonts w:ascii="Montserrat" w:hAnsi="Montserrat"/>
        </w:rPr>
      </w:pPr>
    </w:p>
    <w:p w14:paraId="0FBDAB12" w14:textId="77777777" w:rsidR="0085192B" w:rsidRDefault="0085192B" w:rsidP="006F54BD">
      <w:pPr>
        <w:jc w:val="both"/>
        <w:rPr>
          <w:rFonts w:ascii="Montserrat" w:hAnsi="Montserrat"/>
        </w:rPr>
      </w:pPr>
    </w:p>
    <w:p w14:paraId="2F10D1DA" w14:textId="77777777" w:rsidR="0085192B" w:rsidRDefault="0085192B" w:rsidP="006F54BD">
      <w:pPr>
        <w:jc w:val="both"/>
        <w:rPr>
          <w:rFonts w:ascii="Montserrat" w:hAnsi="Montserrat"/>
        </w:rPr>
      </w:pPr>
    </w:p>
    <w:p w14:paraId="0A10125C" w14:textId="77777777" w:rsidR="0085192B" w:rsidRPr="006F54BD" w:rsidRDefault="0085192B" w:rsidP="006F54BD">
      <w:pPr>
        <w:jc w:val="both"/>
        <w:rPr>
          <w:rFonts w:ascii="Montserrat" w:hAnsi="Montserrat"/>
        </w:rPr>
      </w:pPr>
    </w:p>
    <w:p w14:paraId="47A1DB01" w14:textId="54948906" w:rsidR="006F54BD" w:rsidRPr="006F54BD" w:rsidRDefault="006F54BD" w:rsidP="006F54BD">
      <w:pPr>
        <w:jc w:val="both"/>
        <w:rPr>
          <w:rFonts w:ascii="Montserrat" w:hAnsi="Montserrat"/>
          <w:b/>
          <w:bCs/>
        </w:rPr>
      </w:pPr>
      <w:r w:rsidRPr="006F54BD">
        <w:rPr>
          <w:rFonts w:ascii="Montserrat" w:hAnsi="Montserrat"/>
          <w:b/>
          <w:bCs/>
        </w:rPr>
        <w:lastRenderedPageBreak/>
        <w:t>4UM IMA-B 5+ FIRF</w:t>
      </w:r>
    </w:p>
    <w:p w14:paraId="7F5AC682" w14:textId="71A32E9C" w:rsidR="006F54BD" w:rsidRPr="006F54BD" w:rsidRDefault="006F54BD" w:rsidP="006F54BD">
      <w:pPr>
        <w:jc w:val="both"/>
        <w:rPr>
          <w:rFonts w:ascii="Montserrat" w:hAnsi="Montserrat"/>
        </w:rPr>
      </w:pPr>
      <w:r w:rsidRPr="006F54BD">
        <w:rPr>
          <w:rFonts w:ascii="Montserrat" w:hAnsi="Montserrat"/>
        </w:rPr>
        <w:t xml:space="preserve">O 4UM Inflação IMA-B 5+ FIRF encerrou o mês de março de 2022 com um desempenho de </w:t>
      </w:r>
      <w:r>
        <w:rPr>
          <w:rFonts w:ascii="Montserrat" w:hAnsi="Montserrat"/>
        </w:rPr>
        <w:t>-0,08</w:t>
      </w:r>
      <w:r w:rsidRPr="006F54BD">
        <w:rPr>
          <w:rFonts w:ascii="Montserrat" w:hAnsi="Montserrat"/>
        </w:rPr>
        <w:t>%. O benchmark do fundo, IMA-B 5</w:t>
      </w:r>
      <w:r>
        <w:rPr>
          <w:rFonts w:ascii="Montserrat" w:hAnsi="Montserrat"/>
        </w:rPr>
        <w:t>+</w:t>
      </w:r>
      <w:r w:rsidRPr="006F54BD">
        <w:rPr>
          <w:rFonts w:ascii="Montserrat" w:hAnsi="Montserrat"/>
        </w:rPr>
        <w:t xml:space="preserve">, teve uma alta de </w:t>
      </w:r>
      <w:r>
        <w:rPr>
          <w:rFonts w:ascii="Montserrat" w:hAnsi="Montserrat"/>
        </w:rPr>
        <w:t>0,08</w:t>
      </w:r>
      <w:r w:rsidRPr="006F54BD">
        <w:rPr>
          <w:rFonts w:ascii="Montserrat" w:hAnsi="Montserrat"/>
        </w:rPr>
        <w:t>%. No ano, o desempenho do fundo é de 2,0</w:t>
      </w:r>
      <w:r>
        <w:rPr>
          <w:rFonts w:ascii="Montserrat" w:hAnsi="Montserrat"/>
        </w:rPr>
        <w:t>1</w:t>
      </w:r>
      <w:r w:rsidRPr="006F54BD">
        <w:rPr>
          <w:rFonts w:ascii="Montserrat" w:hAnsi="Montserrat"/>
        </w:rPr>
        <w:t>% e do benchmark é de 1,9</w:t>
      </w:r>
      <w:r>
        <w:rPr>
          <w:rFonts w:ascii="Montserrat" w:hAnsi="Montserrat"/>
        </w:rPr>
        <w:t>9</w:t>
      </w:r>
      <w:r w:rsidRPr="006F54BD">
        <w:rPr>
          <w:rFonts w:ascii="Montserrat" w:hAnsi="Montserrat"/>
        </w:rPr>
        <w:t>%.</w:t>
      </w:r>
    </w:p>
    <w:p w14:paraId="721298D9" w14:textId="06B31ADD" w:rsidR="00BF7FD1" w:rsidRDefault="006F54BD" w:rsidP="006F54BD">
      <w:pPr>
        <w:jc w:val="both"/>
        <w:rPr>
          <w:rFonts w:ascii="Montserrat" w:hAnsi="Montserrat"/>
        </w:rPr>
      </w:pPr>
      <w:r w:rsidRPr="006F54BD">
        <w:rPr>
          <w:rFonts w:ascii="Montserrat" w:hAnsi="Montserrat"/>
        </w:rPr>
        <w:t>As estatísticas do 4UM Inflação IMA-B 5+ estava da seguinte forma no final de março de 2022: a taxa real de carrego acima da inflação da carteira era de 5,</w:t>
      </w:r>
      <w:r w:rsidR="00292A94">
        <w:rPr>
          <w:rFonts w:ascii="Montserrat" w:hAnsi="Montserrat"/>
        </w:rPr>
        <w:t>7</w:t>
      </w:r>
      <w:r w:rsidRPr="006F54BD">
        <w:rPr>
          <w:rFonts w:ascii="Montserrat" w:hAnsi="Montserrat"/>
        </w:rPr>
        <w:t>%, enquanto o IMA-B 5+ estava em 5,</w:t>
      </w:r>
      <w:r w:rsidR="00292A94">
        <w:rPr>
          <w:rFonts w:ascii="Montserrat" w:hAnsi="Montserrat"/>
        </w:rPr>
        <w:t>7</w:t>
      </w:r>
      <w:r w:rsidRPr="006F54BD">
        <w:rPr>
          <w:rFonts w:ascii="Montserrat" w:hAnsi="Montserrat"/>
        </w:rPr>
        <w:t>%. Em relação à duration da carteira, o 4UM Inflação IMA-B 5+ e seu benchmark, o IMA-B 5+, estavam em torno de 11 anos. Em termos de alocação, o 4UM Inflação IMA-B 5+ está posicionado em NTN-B 2035 e NTN-B 2040, com um peso de 4% e 95%, respectivamente e mantendo 1% em caixa.</w:t>
      </w:r>
    </w:p>
    <w:p w14:paraId="201A409E" w14:textId="2A2DA6F2" w:rsidR="00AB4024" w:rsidRDefault="00AB4024" w:rsidP="006F54BD">
      <w:pPr>
        <w:jc w:val="both"/>
        <w:rPr>
          <w:rFonts w:ascii="Montserrat" w:hAnsi="Montserrat"/>
        </w:rPr>
      </w:pPr>
    </w:p>
    <w:p w14:paraId="6ED4BDE4" w14:textId="1332C1D6" w:rsidR="00AB4024" w:rsidRPr="006F54BD" w:rsidRDefault="00AB4024" w:rsidP="00AB4024">
      <w:pPr>
        <w:jc w:val="both"/>
        <w:rPr>
          <w:rFonts w:ascii="Montserrat" w:hAnsi="Montserrat"/>
          <w:b/>
          <w:bCs/>
        </w:rPr>
      </w:pPr>
      <w:r w:rsidRPr="006F54BD">
        <w:rPr>
          <w:rFonts w:ascii="Montserrat" w:hAnsi="Montserrat"/>
          <w:b/>
          <w:bCs/>
        </w:rPr>
        <w:t xml:space="preserve">4UM </w:t>
      </w:r>
      <w:r w:rsidR="0085192B">
        <w:rPr>
          <w:rFonts w:ascii="Montserrat" w:hAnsi="Montserrat"/>
          <w:b/>
          <w:bCs/>
        </w:rPr>
        <w:t>CRÉDITO</w:t>
      </w:r>
    </w:p>
    <w:p w14:paraId="346A5893" w14:textId="3283E706" w:rsidR="00AB4024" w:rsidRPr="006F54BD" w:rsidRDefault="0087665E" w:rsidP="0087665E">
      <w:pPr>
        <w:jc w:val="both"/>
        <w:rPr>
          <w:rFonts w:ascii="Montserrat" w:hAnsi="Montserrat"/>
        </w:rPr>
      </w:pPr>
      <w:r w:rsidRPr="0087665E">
        <w:rPr>
          <w:rFonts w:ascii="Montserrat" w:hAnsi="Montserrat"/>
        </w:rPr>
        <w:t>No mês de abril de 2022, o 4UM FIRF Crédito Privado apresentou rentabilidade de 0,89%, equivalente a 106% do CDI.</w:t>
      </w:r>
      <w:r>
        <w:rPr>
          <w:rFonts w:ascii="Montserrat" w:hAnsi="Montserrat"/>
        </w:rPr>
        <w:t xml:space="preserve"> </w:t>
      </w:r>
      <w:r w:rsidRPr="0087665E">
        <w:rPr>
          <w:rFonts w:ascii="Montserrat" w:hAnsi="Montserrat"/>
        </w:rPr>
        <w:t>Em relação as classes de ativos, a parcela de Crédito Privado terminou o mês com uma alocação de 54% do PL do fundo, sendo que esta parcela ficou distribuída entre Debêntures (27%) e ativos de Instituições Financeiras (27%). Já as parcelas de LFTs e Operações Compromissadas terminaram janeiro, respectivamente, com uma alocação de 7% e 28%. Por último, mas não menos importante, a parcela de Operações de Termo foi responsável pelo restante dos 11% da alocação.</w:t>
      </w:r>
      <w:r>
        <w:rPr>
          <w:rFonts w:ascii="Montserrat" w:hAnsi="Montserrat"/>
        </w:rPr>
        <w:t xml:space="preserve"> </w:t>
      </w:r>
      <w:r w:rsidRPr="0087665E">
        <w:rPr>
          <w:rFonts w:ascii="Montserrat" w:hAnsi="Montserrat"/>
        </w:rPr>
        <w:t>Em complemento, é interessante ressaltar o ingresso de 5 novos ativos na carteira do fundo.</w:t>
      </w:r>
      <w:r>
        <w:rPr>
          <w:rFonts w:ascii="Montserrat" w:hAnsi="Montserrat"/>
        </w:rPr>
        <w:t xml:space="preserve"> </w:t>
      </w:r>
      <w:r w:rsidRPr="0087665E">
        <w:rPr>
          <w:rFonts w:ascii="Montserrat" w:hAnsi="Montserrat"/>
        </w:rPr>
        <w:t>Nesse mês, realizamos alocações em ativos de crédito de BTG Pactual, Paraná Banco, Banco ABC, Aeris e Sabesp. As operações de ativos bancários tiveram prazo médio de aproximadamente 0,35 anos e uma taxa ponderada de aproximadamente 105,75% do CDI, e para os créditos corporativos, o prazo médio foi de 4,8 anos, com um yield ponderado de DI+1,43%. Com isso, o fundo totaliza 27 emissores diferentes na sua carteira.</w:t>
      </w:r>
      <w:r>
        <w:rPr>
          <w:rFonts w:ascii="Montserrat" w:hAnsi="Montserrat"/>
        </w:rPr>
        <w:t xml:space="preserve"> </w:t>
      </w:r>
      <w:r w:rsidRPr="0087665E">
        <w:rPr>
          <w:rFonts w:ascii="Montserrat" w:hAnsi="Montserrat"/>
        </w:rPr>
        <w:t>Por fim, vale destacar algumas informações das operações a termo realizadas em abril de 2022. Ao todo foram realizadas 58 operações, sendo que pouco mais de 36% destas foram antecipadas. Em média, cada termo teve um financeiro de R$ 123K e um prazo de 20 dias. Com isso, as operações de termo tiveram um resultado médio de aproximadamente 215% do CDI.</w:t>
      </w:r>
    </w:p>
    <w:sectPr w:rsidR="00AB4024" w:rsidRPr="006F54BD" w:rsidSect="006F54BD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4BD"/>
    <w:rsid w:val="00292A94"/>
    <w:rsid w:val="004E7351"/>
    <w:rsid w:val="006F54BD"/>
    <w:rsid w:val="0085192B"/>
    <w:rsid w:val="0087665E"/>
    <w:rsid w:val="008E4DDC"/>
    <w:rsid w:val="00AB4024"/>
    <w:rsid w:val="00AD0A9D"/>
    <w:rsid w:val="00BE770B"/>
    <w:rsid w:val="00BF7FD1"/>
    <w:rsid w:val="00D0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25E1C"/>
  <w15:chartTrackingRefBased/>
  <w15:docId w15:val="{BA13E647-AF56-4EF9-AD62-844118E3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1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837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Micota Stipp</dc:creator>
  <cp:keywords/>
  <dc:description/>
  <cp:lastModifiedBy>Guilherme Micota Stipp</cp:lastModifiedBy>
  <cp:revision>8</cp:revision>
  <dcterms:created xsi:type="dcterms:W3CDTF">2022-05-05T18:39:00Z</dcterms:created>
  <dcterms:modified xsi:type="dcterms:W3CDTF">2022-05-05T19:05:00Z</dcterms:modified>
</cp:coreProperties>
</file>