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4549F" w14:textId="15D39FFC" w:rsidR="008A09D0" w:rsidRPr="00716706" w:rsidRDefault="00190605" w:rsidP="00716706">
      <w:pPr>
        <w:spacing w:line="276" w:lineRule="auto"/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Carta de Gestão – Inflação</w:t>
      </w:r>
      <w:r w:rsidR="00716706" w:rsidRPr="00716706">
        <w:rPr>
          <w:rFonts w:ascii="Montserrat" w:hAnsi="Montserrat"/>
          <w:b/>
          <w:bCs/>
          <w:sz w:val="28"/>
          <w:szCs w:val="28"/>
        </w:rPr>
        <w:t xml:space="preserve"> (202</w:t>
      </w:r>
      <w:r w:rsidR="00E309A7">
        <w:rPr>
          <w:rFonts w:ascii="Montserrat" w:hAnsi="Montserrat"/>
          <w:b/>
          <w:bCs/>
          <w:sz w:val="28"/>
          <w:szCs w:val="28"/>
        </w:rPr>
        <w:t>2</w:t>
      </w:r>
      <w:r w:rsidR="00716706" w:rsidRPr="00716706">
        <w:rPr>
          <w:rFonts w:ascii="Montserrat" w:hAnsi="Montserrat"/>
          <w:b/>
          <w:bCs/>
          <w:sz w:val="28"/>
          <w:szCs w:val="28"/>
        </w:rPr>
        <w:t>-</w:t>
      </w:r>
      <w:r w:rsidR="00E309A7">
        <w:rPr>
          <w:rFonts w:ascii="Montserrat" w:hAnsi="Montserrat"/>
          <w:b/>
          <w:bCs/>
          <w:sz w:val="28"/>
          <w:szCs w:val="28"/>
        </w:rPr>
        <w:t>01</w:t>
      </w:r>
      <w:r w:rsidR="00716706" w:rsidRPr="00716706">
        <w:rPr>
          <w:rFonts w:ascii="Montserrat" w:hAnsi="Montserrat"/>
          <w:b/>
          <w:bCs/>
          <w:sz w:val="28"/>
          <w:szCs w:val="28"/>
        </w:rPr>
        <w:t>)</w:t>
      </w:r>
    </w:p>
    <w:p w14:paraId="67F0A038" w14:textId="153F8107" w:rsidR="00716706" w:rsidRDefault="00716706" w:rsidP="00716706">
      <w:pPr>
        <w:spacing w:line="276" w:lineRule="auto"/>
        <w:rPr>
          <w:rFonts w:ascii="Montserrat" w:hAnsi="Montserrat"/>
        </w:rPr>
      </w:pPr>
    </w:p>
    <w:p w14:paraId="231AE7E7" w14:textId="233AEFB6" w:rsidR="0087557D" w:rsidRDefault="00190605" w:rsidP="00664134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O </w:t>
      </w:r>
      <w:r w:rsidR="00536293" w:rsidRPr="00536293">
        <w:rPr>
          <w:rFonts w:ascii="Montserrat" w:hAnsi="Montserrat"/>
        </w:rPr>
        <w:t>4</w:t>
      </w:r>
      <w:r w:rsidR="00536293">
        <w:rPr>
          <w:rFonts w:ascii="Montserrat" w:hAnsi="Montserrat"/>
        </w:rPr>
        <w:t>UM</w:t>
      </w:r>
      <w:r w:rsidR="00536293" w:rsidRPr="00536293">
        <w:rPr>
          <w:rFonts w:ascii="Montserrat" w:hAnsi="Montserrat"/>
        </w:rPr>
        <w:t xml:space="preserve"> </w:t>
      </w:r>
      <w:r w:rsidR="00536293">
        <w:rPr>
          <w:rFonts w:ascii="Montserrat" w:hAnsi="Montserrat"/>
        </w:rPr>
        <w:t>I</w:t>
      </w:r>
      <w:r w:rsidR="00536293" w:rsidRPr="00536293">
        <w:rPr>
          <w:rFonts w:ascii="Montserrat" w:hAnsi="Montserrat"/>
        </w:rPr>
        <w:t xml:space="preserve">nflação </w:t>
      </w:r>
      <w:r w:rsidR="00536293">
        <w:rPr>
          <w:rFonts w:ascii="Montserrat" w:hAnsi="Montserrat"/>
        </w:rPr>
        <w:t>IMA-B 5</w:t>
      </w:r>
      <w:r w:rsidR="00536293" w:rsidRPr="00536293">
        <w:rPr>
          <w:rFonts w:ascii="Montserrat" w:hAnsi="Montserrat"/>
        </w:rPr>
        <w:t xml:space="preserve"> </w:t>
      </w:r>
      <w:r w:rsidR="00536293">
        <w:rPr>
          <w:rFonts w:ascii="Montserrat" w:hAnsi="Montserrat"/>
        </w:rPr>
        <w:t xml:space="preserve">FIRF encerrou </w:t>
      </w:r>
      <w:r w:rsidR="009E1CA1">
        <w:rPr>
          <w:rFonts w:ascii="Montserrat" w:hAnsi="Montserrat"/>
        </w:rPr>
        <w:t>o mês de janeiro de 2022</w:t>
      </w:r>
      <w:r w:rsidR="00536293">
        <w:rPr>
          <w:rFonts w:ascii="Montserrat" w:hAnsi="Montserrat"/>
        </w:rPr>
        <w:t xml:space="preserve"> com um desempenho de </w:t>
      </w:r>
      <w:r w:rsidR="005536DF">
        <w:rPr>
          <w:rFonts w:ascii="Montserrat" w:hAnsi="Montserrat"/>
        </w:rPr>
        <w:t>0,0</w:t>
      </w:r>
      <w:r w:rsidR="00336A25">
        <w:rPr>
          <w:rFonts w:ascii="Montserrat" w:hAnsi="Montserrat"/>
        </w:rPr>
        <w:t>%. O benchmark do fundo</w:t>
      </w:r>
      <w:r w:rsidR="00F35157">
        <w:rPr>
          <w:rFonts w:ascii="Montserrat" w:hAnsi="Montserrat"/>
        </w:rPr>
        <w:t>, IMA-B 5,</w:t>
      </w:r>
      <w:r w:rsidR="00336A25">
        <w:rPr>
          <w:rFonts w:ascii="Montserrat" w:hAnsi="Montserrat"/>
        </w:rPr>
        <w:t xml:space="preserve"> </w:t>
      </w:r>
      <w:r w:rsidR="008E1CAF">
        <w:rPr>
          <w:rFonts w:ascii="Montserrat" w:hAnsi="Montserrat"/>
        </w:rPr>
        <w:t>teve</w:t>
      </w:r>
      <w:r w:rsidR="00336A25">
        <w:rPr>
          <w:rFonts w:ascii="Montserrat" w:hAnsi="Montserrat"/>
        </w:rPr>
        <w:t xml:space="preserve"> uma alta de </w:t>
      </w:r>
      <w:r w:rsidR="00D046AD">
        <w:rPr>
          <w:rFonts w:ascii="Montserrat" w:hAnsi="Montserrat"/>
        </w:rPr>
        <w:t>0,1</w:t>
      </w:r>
      <w:r w:rsidR="00F35157">
        <w:rPr>
          <w:rFonts w:ascii="Montserrat" w:hAnsi="Montserrat"/>
        </w:rPr>
        <w:t xml:space="preserve">%. Já os outros indicadores do mercado de NTN-Bs, o IMA-B e o IMA-B 5+ </w:t>
      </w:r>
      <w:r w:rsidR="00D046AD">
        <w:rPr>
          <w:rFonts w:ascii="Montserrat" w:hAnsi="Montserrat"/>
        </w:rPr>
        <w:t>performaram</w:t>
      </w:r>
      <w:r w:rsidR="008E1CAF">
        <w:rPr>
          <w:rFonts w:ascii="Montserrat" w:hAnsi="Montserrat"/>
        </w:rPr>
        <w:t xml:space="preserve"> </w:t>
      </w:r>
      <w:r w:rsidR="005043A8">
        <w:rPr>
          <w:rFonts w:ascii="Montserrat" w:hAnsi="Montserrat"/>
        </w:rPr>
        <w:t>-0,7%</w:t>
      </w:r>
      <w:r w:rsidR="008E1CAF">
        <w:rPr>
          <w:rFonts w:ascii="Montserrat" w:hAnsi="Montserrat"/>
        </w:rPr>
        <w:t xml:space="preserve"> e </w:t>
      </w:r>
      <w:r w:rsidR="005043A8">
        <w:rPr>
          <w:rFonts w:ascii="Montserrat" w:hAnsi="Montserrat"/>
        </w:rPr>
        <w:t>-1,6%</w:t>
      </w:r>
      <w:r w:rsidR="008E1CAF">
        <w:rPr>
          <w:rFonts w:ascii="Montserrat" w:hAnsi="Montserrat"/>
        </w:rPr>
        <w:t xml:space="preserve">, </w:t>
      </w:r>
      <w:r w:rsidR="00D046AD">
        <w:rPr>
          <w:rFonts w:ascii="Montserrat" w:hAnsi="Montserrat"/>
        </w:rPr>
        <w:t xml:space="preserve">no mesmo período, </w:t>
      </w:r>
      <w:r w:rsidR="008E1CAF">
        <w:rPr>
          <w:rFonts w:ascii="Montserrat" w:hAnsi="Montserrat"/>
        </w:rPr>
        <w:t>respectivamente</w:t>
      </w:r>
      <w:r w:rsidR="00D046AD">
        <w:rPr>
          <w:rFonts w:ascii="Montserrat" w:hAnsi="Montserrat"/>
        </w:rPr>
        <w:t>.</w:t>
      </w:r>
      <w:r w:rsidR="00956CFC">
        <w:rPr>
          <w:rFonts w:ascii="Montserrat" w:hAnsi="Montserrat"/>
        </w:rPr>
        <w:t xml:space="preserve"> </w:t>
      </w:r>
      <w:r w:rsidR="008E1CAF">
        <w:rPr>
          <w:rFonts w:ascii="Montserrat" w:hAnsi="Montserrat"/>
        </w:rPr>
        <w:t xml:space="preserve">Ressaltamos que </w:t>
      </w:r>
      <w:r w:rsidR="00271470">
        <w:rPr>
          <w:rFonts w:ascii="Montserrat" w:hAnsi="Montserrat"/>
        </w:rPr>
        <w:t>em setembro de 2021 alteramos o benchmark do fundo, anteriormente IMA-B para posteriormente o IMA-B 5</w:t>
      </w:r>
      <w:r w:rsidR="0087557D">
        <w:rPr>
          <w:rFonts w:ascii="Montserrat" w:hAnsi="Montserrat"/>
        </w:rPr>
        <w:t xml:space="preserve">. </w:t>
      </w:r>
    </w:p>
    <w:p w14:paraId="322597AB" w14:textId="37B659C8" w:rsidR="003071D0" w:rsidRDefault="00345C92" w:rsidP="00664134">
      <w:pPr>
        <w:spacing w:line="276" w:lineRule="auto"/>
        <w:jc w:val="both"/>
        <w:rPr>
          <w:rFonts w:ascii="Montserrat" w:hAnsi="Montserrat"/>
        </w:rPr>
      </w:pPr>
      <w:r w:rsidRPr="003071D0">
        <w:rPr>
          <w:rFonts w:ascii="Montserrat" w:hAnsi="Montserrat"/>
        </w:rPr>
        <w:t xml:space="preserve">As estatísticas do 4UM Inflação IMA-B 5 e 4UM Inflação IMA-B 5+ estavam da seguinte forma no final de </w:t>
      </w:r>
      <w:r w:rsidR="00CC4552">
        <w:rPr>
          <w:rFonts w:ascii="Montserrat" w:hAnsi="Montserrat"/>
        </w:rPr>
        <w:t>janeiro de 2022</w:t>
      </w:r>
      <w:r w:rsidRPr="003071D0">
        <w:rPr>
          <w:rFonts w:ascii="Montserrat" w:hAnsi="Montserrat"/>
        </w:rPr>
        <w:t>: a taxa real de carrego acima da inflação da carteira do 4UM Inflação IMA-B 5 estava em 5,</w:t>
      </w:r>
      <w:r w:rsidR="00517641">
        <w:rPr>
          <w:rFonts w:ascii="Montserrat" w:hAnsi="Montserrat"/>
        </w:rPr>
        <w:t>9</w:t>
      </w:r>
      <w:r w:rsidRPr="003071D0">
        <w:rPr>
          <w:rFonts w:ascii="Montserrat" w:hAnsi="Montserrat"/>
        </w:rPr>
        <w:t xml:space="preserve">% ao ano, enquanto seu benchmark, o IMA-B 5, estava com uma taxa de </w:t>
      </w:r>
      <w:r w:rsidR="00517641">
        <w:rPr>
          <w:rFonts w:ascii="Montserrat" w:hAnsi="Montserrat"/>
        </w:rPr>
        <w:t>6,1</w:t>
      </w:r>
      <w:r w:rsidRPr="003071D0">
        <w:rPr>
          <w:rFonts w:ascii="Montserrat" w:hAnsi="Montserrat"/>
        </w:rPr>
        <w:t>%. No fundo 4UM Inflação IMA-B 5+ a taxa real era de 5,</w:t>
      </w:r>
      <w:r w:rsidR="00517641">
        <w:rPr>
          <w:rFonts w:ascii="Montserrat" w:hAnsi="Montserrat"/>
        </w:rPr>
        <w:t>6</w:t>
      </w:r>
      <w:r w:rsidRPr="003071D0">
        <w:rPr>
          <w:rFonts w:ascii="Montserrat" w:hAnsi="Montserrat"/>
        </w:rPr>
        <w:t>%, enquanto o IMA-B 5+ estava em 5,</w:t>
      </w:r>
      <w:r w:rsidR="00517641">
        <w:rPr>
          <w:rFonts w:ascii="Montserrat" w:hAnsi="Montserrat"/>
        </w:rPr>
        <w:t>6</w:t>
      </w:r>
      <w:r w:rsidRPr="003071D0">
        <w:rPr>
          <w:rFonts w:ascii="Montserrat" w:hAnsi="Montserrat"/>
        </w:rPr>
        <w:t>%. Em relação à duration das carteiras, o 4UM Inflação IMA-B 5 e seu benchmark, o IMA-B 5, estavam em torno de 2 anos. Na carteira do 4UM Inflação IMA-B 5+ e o IMA-B 5+, as durations estavam em torno de 11,</w:t>
      </w:r>
      <w:r w:rsidR="00AF55B0">
        <w:rPr>
          <w:rFonts w:ascii="Montserrat" w:hAnsi="Montserrat"/>
        </w:rPr>
        <w:t>2 e 11,1</w:t>
      </w:r>
      <w:r>
        <w:rPr>
          <w:rFonts w:ascii="Montserrat" w:hAnsi="Montserrat"/>
        </w:rPr>
        <w:t xml:space="preserve"> anos.</w:t>
      </w:r>
    </w:p>
    <w:p w14:paraId="43F1C9DF" w14:textId="77772CA0" w:rsidR="008D0A8E" w:rsidRDefault="002C2BDC" w:rsidP="00664134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E</w:t>
      </w:r>
      <w:r w:rsidR="008D0A8E">
        <w:rPr>
          <w:rFonts w:ascii="Montserrat" w:hAnsi="Montserrat"/>
        </w:rPr>
        <w:t xml:space="preserve">m termos de alocação, o </w:t>
      </w:r>
      <w:r w:rsidR="008D0A8E" w:rsidRPr="003071D0">
        <w:rPr>
          <w:rFonts w:ascii="Montserrat" w:hAnsi="Montserrat"/>
        </w:rPr>
        <w:t>4UM Inflação IMA-B 5</w:t>
      </w:r>
      <w:r w:rsidR="008D0A8E">
        <w:rPr>
          <w:rFonts w:ascii="Montserrat" w:hAnsi="Montserrat"/>
        </w:rPr>
        <w:t xml:space="preserve"> está posicionado em </w:t>
      </w:r>
      <w:r w:rsidR="00493F3F">
        <w:rPr>
          <w:rFonts w:ascii="Montserrat" w:hAnsi="Montserrat"/>
        </w:rPr>
        <w:t xml:space="preserve">NTN-B 2023 e NTN-B 2024, com um peso de 24% e 75%, respectivamente e mantendo 1% em caixa. O </w:t>
      </w:r>
      <w:r w:rsidR="00493F3F" w:rsidRPr="003071D0">
        <w:rPr>
          <w:rFonts w:ascii="Montserrat" w:hAnsi="Montserrat"/>
        </w:rPr>
        <w:t>4UM Inflação IMA-B 5</w:t>
      </w:r>
      <w:r w:rsidR="00493F3F">
        <w:rPr>
          <w:rFonts w:ascii="Montserrat" w:hAnsi="Montserrat"/>
        </w:rPr>
        <w:t>+</w:t>
      </w:r>
      <w:r w:rsidR="00493F3F" w:rsidRPr="00493F3F">
        <w:rPr>
          <w:rFonts w:ascii="Montserrat" w:hAnsi="Montserrat"/>
        </w:rPr>
        <w:t xml:space="preserve"> </w:t>
      </w:r>
      <w:r w:rsidR="00493F3F">
        <w:rPr>
          <w:rFonts w:ascii="Montserrat" w:hAnsi="Montserrat"/>
        </w:rPr>
        <w:t xml:space="preserve">está posicionado em NTN-B 2035 e NTN-B 2040, com um peso de </w:t>
      </w:r>
      <w:r w:rsidR="00B40F27">
        <w:rPr>
          <w:rFonts w:ascii="Montserrat" w:hAnsi="Montserrat"/>
        </w:rPr>
        <w:t>4</w:t>
      </w:r>
      <w:r w:rsidR="00493F3F">
        <w:rPr>
          <w:rFonts w:ascii="Montserrat" w:hAnsi="Montserrat"/>
        </w:rPr>
        <w:t xml:space="preserve">% e </w:t>
      </w:r>
      <w:r w:rsidR="00B40F27">
        <w:rPr>
          <w:rFonts w:ascii="Montserrat" w:hAnsi="Montserrat"/>
        </w:rPr>
        <w:t>95</w:t>
      </w:r>
      <w:r w:rsidR="00493F3F">
        <w:rPr>
          <w:rFonts w:ascii="Montserrat" w:hAnsi="Montserrat"/>
        </w:rPr>
        <w:t xml:space="preserve">%, respectivamente </w:t>
      </w:r>
      <w:r w:rsidR="00956CFC">
        <w:rPr>
          <w:rFonts w:ascii="Montserrat" w:hAnsi="Montserrat"/>
        </w:rPr>
        <w:t>e</w:t>
      </w:r>
      <w:r w:rsidR="00493F3F">
        <w:rPr>
          <w:rFonts w:ascii="Montserrat" w:hAnsi="Montserrat"/>
        </w:rPr>
        <w:t xml:space="preserve"> mantendo 1% em caixa.</w:t>
      </w:r>
    </w:p>
    <w:sectPr w:rsidR="008D0A8E" w:rsidSect="0071670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06"/>
    <w:rsid w:val="00003346"/>
    <w:rsid w:val="00042C01"/>
    <w:rsid w:val="00043F32"/>
    <w:rsid w:val="00055A43"/>
    <w:rsid w:val="00064411"/>
    <w:rsid w:val="000A0E45"/>
    <w:rsid w:val="000A226A"/>
    <w:rsid w:val="000C5CA8"/>
    <w:rsid w:val="000C7433"/>
    <w:rsid w:val="000F3A21"/>
    <w:rsid w:val="00103CEB"/>
    <w:rsid w:val="00104877"/>
    <w:rsid w:val="00115CCB"/>
    <w:rsid w:val="001211B3"/>
    <w:rsid w:val="00140A79"/>
    <w:rsid w:val="00141880"/>
    <w:rsid w:val="001541A1"/>
    <w:rsid w:val="001708C9"/>
    <w:rsid w:val="00190605"/>
    <w:rsid w:val="001920CA"/>
    <w:rsid w:val="00192810"/>
    <w:rsid w:val="0019467D"/>
    <w:rsid w:val="001969A2"/>
    <w:rsid w:val="001A37FC"/>
    <w:rsid w:val="001B6C6B"/>
    <w:rsid w:val="001C73CC"/>
    <w:rsid w:val="001D5A4A"/>
    <w:rsid w:val="00225C01"/>
    <w:rsid w:val="00243295"/>
    <w:rsid w:val="00271470"/>
    <w:rsid w:val="00285818"/>
    <w:rsid w:val="00286535"/>
    <w:rsid w:val="002C2BDC"/>
    <w:rsid w:val="002D1455"/>
    <w:rsid w:val="002D4DD0"/>
    <w:rsid w:val="002E543F"/>
    <w:rsid w:val="002F79D8"/>
    <w:rsid w:val="00305BF3"/>
    <w:rsid w:val="003071D0"/>
    <w:rsid w:val="00336A25"/>
    <w:rsid w:val="00345C92"/>
    <w:rsid w:val="0036195C"/>
    <w:rsid w:val="003E3BEE"/>
    <w:rsid w:val="003E626C"/>
    <w:rsid w:val="003E7255"/>
    <w:rsid w:val="004044E7"/>
    <w:rsid w:val="00413267"/>
    <w:rsid w:val="00423C6E"/>
    <w:rsid w:val="00451CF9"/>
    <w:rsid w:val="00453514"/>
    <w:rsid w:val="00454F4D"/>
    <w:rsid w:val="0046624A"/>
    <w:rsid w:val="0047264C"/>
    <w:rsid w:val="00493F3F"/>
    <w:rsid w:val="004A7046"/>
    <w:rsid w:val="005043A8"/>
    <w:rsid w:val="00517641"/>
    <w:rsid w:val="00517A8C"/>
    <w:rsid w:val="00522433"/>
    <w:rsid w:val="00536293"/>
    <w:rsid w:val="005536DF"/>
    <w:rsid w:val="005C049B"/>
    <w:rsid w:val="00613096"/>
    <w:rsid w:val="00617458"/>
    <w:rsid w:val="00620718"/>
    <w:rsid w:val="00631345"/>
    <w:rsid w:val="00632B35"/>
    <w:rsid w:val="0065106A"/>
    <w:rsid w:val="00664134"/>
    <w:rsid w:val="00670B89"/>
    <w:rsid w:val="00691720"/>
    <w:rsid w:val="006D5254"/>
    <w:rsid w:val="006F1C91"/>
    <w:rsid w:val="007059EB"/>
    <w:rsid w:val="007143CB"/>
    <w:rsid w:val="00716706"/>
    <w:rsid w:val="00775834"/>
    <w:rsid w:val="00776748"/>
    <w:rsid w:val="00781CB8"/>
    <w:rsid w:val="007C3A0E"/>
    <w:rsid w:val="007D302C"/>
    <w:rsid w:val="007E15B5"/>
    <w:rsid w:val="007F54CD"/>
    <w:rsid w:val="00802832"/>
    <w:rsid w:val="00832134"/>
    <w:rsid w:val="0087557D"/>
    <w:rsid w:val="008A09D0"/>
    <w:rsid w:val="008B46A5"/>
    <w:rsid w:val="008C7C1D"/>
    <w:rsid w:val="008D0A8E"/>
    <w:rsid w:val="008E1CAF"/>
    <w:rsid w:val="008F1055"/>
    <w:rsid w:val="009025D9"/>
    <w:rsid w:val="0090401C"/>
    <w:rsid w:val="0090648E"/>
    <w:rsid w:val="0093147A"/>
    <w:rsid w:val="00956CFC"/>
    <w:rsid w:val="00970C4D"/>
    <w:rsid w:val="00977B79"/>
    <w:rsid w:val="009B7352"/>
    <w:rsid w:val="009C11D0"/>
    <w:rsid w:val="009C7F96"/>
    <w:rsid w:val="009E1CA1"/>
    <w:rsid w:val="009F00A6"/>
    <w:rsid w:val="009F5DCD"/>
    <w:rsid w:val="00A24A1D"/>
    <w:rsid w:val="00A367A6"/>
    <w:rsid w:val="00A64830"/>
    <w:rsid w:val="00A8489B"/>
    <w:rsid w:val="00AA38F3"/>
    <w:rsid w:val="00AA7207"/>
    <w:rsid w:val="00AC57A2"/>
    <w:rsid w:val="00AF5046"/>
    <w:rsid w:val="00AF55B0"/>
    <w:rsid w:val="00AF75AD"/>
    <w:rsid w:val="00B40F27"/>
    <w:rsid w:val="00B82555"/>
    <w:rsid w:val="00BA3FD2"/>
    <w:rsid w:val="00BB6D22"/>
    <w:rsid w:val="00BB78C8"/>
    <w:rsid w:val="00C1021B"/>
    <w:rsid w:val="00C15BE8"/>
    <w:rsid w:val="00C3467D"/>
    <w:rsid w:val="00C940FA"/>
    <w:rsid w:val="00C954AF"/>
    <w:rsid w:val="00C97C89"/>
    <w:rsid w:val="00CC4552"/>
    <w:rsid w:val="00CC4C58"/>
    <w:rsid w:val="00CD1ADE"/>
    <w:rsid w:val="00CE58F9"/>
    <w:rsid w:val="00D046AD"/>
    <w:rsid w:val="00D10B40"/>
    <w:rsid w:val="00D24574"/>
    <w:rsid w:val="00D34BF7"/>
    <w:rsid w:val="00D627CD"/>
    <w:rsid w:val="00D62D33"/>
    <w:rsid w:val="00D66D81"/>
    <w:rsid w:val="00DE4C34"/>
    <w:rsid w:val="00E06644"/>
    <w:rsid w:val="00E17944"/>
    <w:rsid w:val="00E309A7"/>
    <w:rsid w:val="00E5633D"/>
    <w:rsid w:val="00E81DE0"/>
    <w:rsid w:val="00E9111C"/>
    <w:rsid w:val="00EA779C"/>
    <w:rsid w:val="00EF6EE5"/>
    <w:rsid w:val="00F26854"/>
    <w:rsid w:val="00F35157"/>
    <w:rsid w:val="00F43CB4"/>
    <w:rsid w:val="00F54AB9"/>
    <w:rsid w:val="00F5534D"/>
    <w:rsid w:val="00F632BB"/>
    <w:rsid w:val="00FA4621"/>
    <w:rsid w:val="00FC26BD"/>
    <w:rsid w:val="00FC335D"/>
    <w:rsid w:val="00FD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E11E"/>
  <w15:chartTrackingRefBased/>
  <w15:docId w15:val="{99C7DB6D-3550-4E20-A408-FB5492D3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C9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313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1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205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Micota Stipp</dc:creator>
  <cp:keywords/>
  <dc:description/>
  <cp:lastModifiedBy>Guilherme Micota Stipp</cp:lastModifiedBy>
  <cp:revision>155</cp:revision>
  <dcterms:created xsi:type="dcterms:W3CDTF">2021-12-30T14:53:00Z</dcterms:created>
  <dcterms:modified xsi:type="dcterms:W3CDTF">2022-02-04T20:38:00Z</dcterms:modified>
</cp:coreProperties>
</file>