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96"/>
        <w:gridCol w:w="5330"/>
      </w:tblGrid>
      <w:tr>
        <w:tc>
          <w:tcPr>
            <w:tcW w:type="dxa" w:w="7013"/>
            <w:shd w:fill="17232C"/>
            <w:tcMar>
              <w:top w:w="500" w:type="dxa"/>
              <w:start w:w="500" w:type="dxa"/>
              <w:bottom w:w="500" w:type="dxa"/>
              <w:end w:w="500" w:type="dxa"/>
            </w:tcMar>
          </w:tcPr>
          <w:p>
            <w:r>
              <w:rPr>
                <w:rFonts w:ascii="Arial" w:hAnsi="Arial"/>
                <w:b/>
                <w:color w:val="F2C500"/>
                <w:sz w:val="18"/>
              </w:rPr>
              <w:t>APRESENTAÇÃO PARA DECISÃO</w:t>
            </w:r>
          </w:p>
          <w:p>
            <w:pPr>
              <w:spacing w:before="360" w:after="240"/>
            </w:pPr>
            <w:r>
              <w:rPr>
                <w:rFonts w:ascii="Arial" w:hAnsi="Arial"/>
                <w:b/>
                <w:color w:val="FFFFFF"/>
                <w:sz w:val="66"/>
              </w:rPr>
              <w:t>Apresentação executiva da ferramenta</w:t>
            </w:r>
          </w:p>
          <w:p>
            <w:pPr>
              <w:spacing w:after="800"/>
            </w:pPr>
            <w:r>
              <w:rPr>
                <w:rFonts w:ascii="Arial" w:hAnsi="Arial"/>
                <w:color w:val="DDE3E6"/>
                <w:sz w:val="26"/>
              </w:rPr>
              <w:t>Processo, governança, integrações e ganhos em relação à especificação anterior em documento.</w:t>
            </w:r>
          </w:p>
          <w:p>
            <w:r>
              <w:rPr>
                <w:rFonts w:ascii="Arial" w:hAnsi="Arial"/>
                <w:b/>
                <w:color w:val="FFFFFF"/>
                <w:sz w:val="21"/>
              </w:rPr>
              <w:t>Sistema de Perfis e Permissões · CAEd / Bizagi / n8n</w:t>
            </w:r>
          </w:p>
          <w:p>
            <w:r>
              <w:rPr>
                <w:rFonts w:ascii="Arial" w:hAnsi="Arial"/>
                <w:color w:val="B7C0C6"/>
                <w:sz w:val="19"/>
              </w:rPr>
              <w:t>Elaborado em 25 de junho de 2026</w:t>
            </w:r>
          </w:p>
        </w:tc>
        <w:tc>
          <w:tcPr>
            <w:tcW w:type="dxa" w:w="7013"/>
            <w:shd w:fill="F2C500"/>
            <w:tcMar>
              <w:top w:w="500" w:type="dxa"/>
              <w:start w:w="500" w:type="dxa"/>
              <w:bottom w:w="500" w:type="dxa"/>
              <w:end w:w="5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4024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e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024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>
            <w:pPr>
              <w:spacing w:before="600"/>
              <w:jc w:val="center"/>
            </w:pPr>
            <w:r>
              <w:rPr>
                <w:rFonts w:ascii="Arial" w:hAnsi="Arial"/>
                <w:b/>
                <w:color w:val="111820"/>
                <w:sz w:val="34"/>
              </w:rPr>
              <w:t>DA ESPECIFICAÇÃO</w:t>
              <w:br/>
              <w:t>À GOVERNANÇA DIGITAL</w:t>
            </w:r>
          </w:p>
        </w:tc>
      </w:tr>
    </w:tbl>
    <w:p>
      <w:r>
        <w:br w:type="page"/>
      </w:r>
    </w:p>
    <w:p>
      <w:pPr>
        <w:pageBreakBefore w:val="0"/>
        <w:spacing w:after="80"/>
      </w:pPr>
      <w:r>
        <w:rPr>
          <w:rFonts w:ascii="Arial" w:hAnsi="Arial"/>
          <w:b/>
          <w:color w:val="F2C500"/>
          <w:sz w:val="17"/>
        </w:rPr>
        <w:t>01 · CONTEXTO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O problema do modelo anterior</w:t>
      </w:r>
    </w:p>
    <w:p>
      <w:pPr>
        <w:spacing w:after="200"/>
      </w:pPr>
      <w:r>
        <w:rPr>
          <w:rFonts w:ascii="Arial" w:hAnsi="Arial"/>
          <w:color w:val="66737C"/>
          <w:sz w:val="22"/>
        </w:rPr>
        <w:t>A especificação em Word documentava a regra, mas não executava o processo de governança.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7013"/>
            <w:tcMar>
              <w:top w:w="230" w:type="dxa"/>
              <w:start w:w="300" w:type="dxa"/>
              <w:bottom w:w="230" w:type="dxa"/>
              <w:end w:w="300" w:type="dxa"/>
            </w:tcMar>
            <w:shd w:fill="F1F3F4"/>
          </w:tcPr>
          <w:p>
            <w:r>
              <w:rPr>
                <w:rFonts w:ascii="Arial" w:hAnsi="Arial"/>
                <w:b/>
                <w:color w:val="66737C"/>
                <w:sz w:val="20"/>
              </w:rPr>
              <w:t>DOCUMENTO ANTERIOR</w:t>
            </w:r>
          </w:p>
          <w:p>
            <w:pPr>
              <w:spacing w:after="100"/>
            </w:pPr>
            <w:r>
              <w:rPr>
                <w:rFonts w:ascii="Arial" w:hAnsi="Arial"/>
                <w:color w:val="111820"/>
                <w:sz w:val="23"/>
              </w:rPr>
              <w:t>— Preenchimento manual</w:t>
            </w:r>
          </w:p>
          <w:p>
            <w:pPr>
              <w:spacing w:after="100"/>
            </w:pPr>
            <w:r>
              <w:rPr>
                <w:rFonts w:ascii="Arial" w:hAnsi="Arial"/>
                <w:color w:val="111820"/>
                <w:sz w:val="23"/>
              </w:rPr>
              <w:t>— Controle por versões de arquivo</w:t>
            </w:r>
          </w:p>
          <w:p>
            <w:pPr>
              <w:spacing w:after="100"/>
            </w:pPr>
            <w:r>
              <w:rPr>
                <w:rFonts w:ascii="Arial" w:hAnsi="Arial"/>
                <w:color w:val="111820"/>
                <w:sz w:val="23"/>
              </w:rPr>
              <w:t>— Permissões descritas em tabela</w:t>
            </w:r>
          </w:p>
          <w:p>
            <w:pPr>
              <w:spacing w:after="100"/>
            </w:pPr>
            <w:r>
              <w:rPr>
                <w:rFonts w:ascii="Arial" w:hAnsi="Arial"/>
                <w:color w:val="111820"/>
                <w:sz w:val="23"/>
              </w:rPr>
              <w:t>— Aprovação fora do documento</w:t>
            </w:r>
          </w:p>
          <w:p>
            <w:pPr>
              <w:spacing w:after="100"/>
            </w:pPr>
            <w:r>
              <w:rPr>
                <w:rFonts w:ascii="Arial" w:hAnsi="Arial"/>
                <w:color w:val="111820"/>
                <w:sz w:val="23"/>
              </w:rPr>
              <w:t>— Baixa rastreabilidade</w:t>
            </w:r>
          </w:p>
          <w:p>
            <w:pPr>
              <w:spacing w:after="100"/>
            </w:pPr>
            <w:r>
              <w:rPr>
                <w:rFonts w:ascii="Arial" w:hAnsi="Arial"/>
                <w:color w:val="111820"/>
                <w:sz w:val="23"/>
              </w:rPr>
              <w:t>— Integração dependente de trabalho manual</w:t>
            </w:r>
          </w:p>
        </w:tc>
        <w:tc>
          <w:tcPr>
            <w:tcW w:type="dxa" w:w="7013"/>
            <w:tcMar>
              <w:top w:w="230" w:type="dxa"/>
              <w:start w:w="300" w:type="dxa"/>
              <w:bottom w:w="230" w:type="dxa"/>
              <w:end w:w="300" w:type="dxa"/>
            </w:tcMar>
            <w:shd w:fill="17232C"/>
          </w:tcPr>
          <w:p>
            <w:r>
              <w:rPr>
                <w:rFonts w:ascii="Arial" w:hAnsi="Arial"/>
                <w:b/>
                <w:color w:val="F2C500"/>
                <w:sz w:val="20"/>
              </w:rPr>
              <w:t>FERRAMENTA PROPOSTA</w:t>
            </w:r>
          </w:p>
          <w:p>
            <w:pPr>
              <w:spacing w:after="100"/>
            </w:pPr>
            <w:r>
              <w:rPr>
                <w:rFonts w:ascii="Arial" w:hAnsi="Arial"/>
                <w:color w:val="FFFFFF"/>
                <w:sz w:val="23"/>
              </w:rPr>
              <w:t>✓ Cadastro estruturado e validado</w:t>
            </w:r>
          </w:p>
          <w:p>
            <w:pPr>
              <w:spacing w:after="100"/>
            </w:pPr>
            <w:r>
              <w:rPr>
                <w:rFonts w:ascii="Arial" w:hAnsi="Arial"/>
                <w:color w:val="FFFFFF"/>
                <w:sz w:val="23"/>
              </w:rPr>
              <w:t>✓ Versão controlada no sistema</w:t>
            </w:r>
          </w:p>
          <w:p>
            <w:pPr>
              <w:spacing w:after="100"/>
            </w:pPr>
            <w:r>
              <w:rPr>
                <w:rFonts w:ascii="Arial" w:hAnsi="Arial"/>
                <w:color w:val="FFFFFF"/>
                <w:sz w:val="23"/>
              </w:rPr>
              <w:t>✓ Matriz de permissões executável</w:t>
            </w:r>
          </w:p>
          <w:p>
            <w:pPr>
              <w:spacing w:after="100"/>
            </w:pPr>
            <w:r>
              <w:rPr>
                <w:rFonts w:ascii="Arial" w:hAnsi="Arial"/>
                <w:color w:val="FFFFFF"/>
                <w:sz w:val="23"/>
              </w:rPr>
              <w:t>✓ Fluxo de aprovação nativo</w:t>
            </w:r>
          </w:p>
          <w:p>
            <w:pPr>
              <w:spacing w:after="100"/>
            </w:pPr>
            <w:r>
              <w:rPr>
                <w:rFonts w:ascii="Arial" w:hAnsi="Arial"/>
                <w:color w:val="FFFFFF"/>
                <w:sz w:val="23"/>
              </w:rPr>
              <w:t>✓ Auditoria por usuário e data</w:t>
            </w:r>
          </w:p>
          <w:p>
            <w:pPr>
              <w:spacing w:after="100"/>
            </w:pPr>
            <w:r>
              <w:rPr>
                <w:rFonts w:ascii="Arial" w:hAnsi="Arial"/>
                <w:color w:val="FFFFFF"/>
                <w:sz w:val="23"/>
              </w:rPr>
              <w:t>✓ n8n e Bizagi preparados para automação</w:t>
            </w:r>
          </w:p>
        </w:tc>
      </w:tr>
    </w:tbl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02 · SOLUÇÃO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Uma plataforma para transformar especificação em processo</w:t>
      </w:r>
    </w:p>
    <w:p>
      <w:pPr>
        <w:spacing w:after="200"/>
      </w:pPr>
      <w:r>
        <w:rPr>
          <w:rFonts w:ascii="Arial" w:hAnsi="Arial"/>
          <w:color w:val="66737C"/>
          <w:sz w:val="22"/>
        </w:rPr>
        <w:t>O sistema centraliza cadastro, validação, aprovação, rastreabilidade e integração.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020000" cy="4390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v1.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439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66737C"/>
          <w:sz w:val="16"/>
        </w:rPr>
        <w:t>Visão geral com processos, indicadores, aprovações e saúde das integrações.</w:t>
      </w:r>
    </w:p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03 · EXPERIÊNCIA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Console único para cada processo</w:t>
      </w:r>
    </w:p>
    <w:p>
      <w:pPr>
        <w:spacing w:after="200"/>
      </w:pPr>
      <w:r>
        <w:rPr>
          <w:rFonts w:ascii="Arial" w:hAnsi="Arial"/>
          <w:color w:val="66737C"/>
          <w:sz w:val="22"/>
        </w:rPr>
        <w:t>Identificação editável, perfis, permissões e histórico no mesmo contexto.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360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process_present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3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04 · PROCESSO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Fluxo ponta a ponta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3337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ponta_a_pon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333735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fill="17232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17232C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Resultado</w:t>
              <w:br/>
            </w:r>
            <w:r>
              <w:rPr>
                <w:rFonts w:ascii="Arial" w:hAnsi="Arial"/>
                <w:color w:val="FFFFFF"/>
                <w:sz w:val="18"/>
              </w:rPr>
              <w:t>A especificação deixa de ser um arquivo estático e passa a ser uma versão aprovada, auditável e pronta para execução.</w:t>
            </w:r>
          </w:p>
        </w:tc>
      </w:tr>
    </w:tbl>
    <w:p>
      <w:pPr>
        <w:spacing w:after="20"/>
      </w:pPr>
    </w:p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05 · GOVERNANÇA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Aprovação em duas etapas com responsabilidade clara</w:t>
      </w:r>
    </w:p>
    <w:p>
      <w:pPr>
        <w:spacing w:after="200"/>
      </w:pPr>
      <w:r>
        <w:rPr>
          <w:rFonts w:ascii="Arial" w:hAnsi="Arial"/>
          <w:color w:val="66737C"/>
          <w:sz w:val="22"/>
        </w:rPr>
        <w:t>Revisão técnica antes da aprovação final; cada decisão exige usuário, data e justificativa.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701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19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uxo_aprovacao_v1.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1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13"/>
            <w:tcMar>
              <w:top w:w="80" w:type="dxa"/>
              <w:start w:w="160" w:type="dxa"/>
              <w:bottom w:w="80" w:type="dxa"/>
              <w:end w:w="160" w:type="dxa"/>
            </w:tcMar>
            <w:shd w:fill="F6F7F7"/>
          </w:tcPr>
          <w:p>
            <w:r>
              <w:rPr>
                <w:rFonts w:ascii="Arial" w:hAnsi="Arial"/>
                <w:b/>
                <w:color w:val="111820"/>
                <w:sz w:val="28"/>
              </w:rPr>
              <w:t>O que acontece ao enviar para aprovação</w:t>
            </w:r>
          </w:p>
          <w:p>
            <w:pPr>
              <w:spacing w:after="100"/>
            </w:pPr>
            <w:r>
              <w:rPr>
                <w:rFonts w:ascii="Arial" w:hAnsi="Arial"/>
                <w:color w:val="22313B"/>
                <w:sz w:val="19"/>
              </w:rPr>
              <w:t>✓ A versão atual é salva e validada.</w:t>
            </w:r>
          </w:p>
          <w:p>
            <w:pPr>
              <w:spacing w:after="100"/>
            </w:pPr>
            <w:r>
              <w:rPr>
                <w:rFonts w:ascii="Arial" w:hAnsi="Arial"/>
                <w:color w:val="22313B"/>
                <w:sz w:val="19"/>
              </w:rPr>
              <w:t>✓ O processo muda para pendente de aprovação.</w:t>
            </w:r>
          </w:p>
          <w:p>
            <w:pPr>
              <w:spacing w:after="100"/>
            </w:pPr>
            <w:r>
              <w:rPr>
                <w:rFonts w:ascii="Arial" w:hAnsi="Arial"/>
                <w:color w:val="22313B"/>
                <w:sz w:val="19"/>
              </w:rPr>
              <w:t>✓ Uma tarefa é atribuída ao revisor técnico.</w:t>
            </w:r>
          </w:p>
          <w:p>
            <w:pPr>
              <w:spacing w:after="100"/>
            </w:pPr>
            <w:r>
              <w:rPr>
                <w:rFonts w:ascii="Arial" w:hAnsi="Arial"/>
                <w:color w:val="22313B"/>
                <w:sz w:val="19"/>
              </w:rPr>
              <w:t>✓ Após a revisão, nasce a tarefa de aprovação final.</w:t>
            </w:r>
          </w:p>
          <w:p>
            <w:pPr>
              <w:spacing w:after="100"/>
            </w:pPr>
            <w:r>
              <w:rPr>
                <w:rFonts w:ascii="Arial" w:hAnsi="Arial"/>
                <w:color w:val="22313B"/>
                <w:sz w:val="19"/>
              </w:rPr>
              <w:t>✓ A aprovação final bloqueia a versão.</w:t>
            </w:r>
          </w:p>
          <w:p>
            <w:pPr>
              <w:spacing w:after="100"/>
            </w:pPr>
            <w:r>
              <w:rPr>
                <w:rFonts w:ascii="Arial" w:hAnsi="Arial"/>
                <w:color w:val="22313B"/>
                <w:sz w:val="19"/>
              </w:rPr>
              <w:t>✓ n8n pode notificar e controlar SLA.</w:t>
            </w:r>
          </w:p>
          <w:p>
            <w:pPr>
              <w:spacing w:after="100"/>
            </w:pPr>
            <w:r>
              <w:rPr>
                <w:rFonts w:ascii="Arial" w:hAnsi="Arial"/>
                <w:color w:val="22313B"/>
                <w:sz w:val="19"/>
              </w:rPr>
              <w:t>✓ Bizagi recebe somente a versão aprovada.</w:t>
            </w:r>
          </w:p>
        </w:tc>
      </w:tr>
    </w:tbl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06 · INTEGRAÇÃO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n8n como camada de orquestração</w:t>
      </w:r>
    </w:p>
    <w:p>
      <w:pPr>
        <w:spacing w:after="200"/>
      </w:pPr>
      <w:r>
        <w:rPr>
          <w:rFonts w:ascii="Arial" w:hAnsi="Arial"/>
          <w:color w:val="66737C"/>
          <w:sz w:val="22"/>
        </w:rPr>
        <w:t>Comunicação e automação sem transferir a regra de negócio para o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701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32649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gracoes_v1.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3264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13"/>
            <w:tcMar>
              <w:top w:w="160" w:type="dxa"/>
              <w:start w:w="220" w:type="dxa"/>
              <w:bottom w:w="160" w:type="dxa"/>
              <w:end w:w="220" w:type="dxa"/>
            </w:tcMar>
            <w:shd w:fill="17232C"/>
          </w:tcPr>
          <w:p>
            <w:r>
              <w:rPr>
                <w:rFonts w:ascii="Arial" w:hAnsi="Arial"/>
                <w:b/>
                <w:color w:val="F2C500"/>
                <w:sz w:val="20"/>
              </w:rPr>
              <w:t>AUTOMAÇÕES PRINCIPAIS</w:t>
            </w:r>
          </w:p>
          <w:p>
            <w:pPr>
              <w:spacing w:after="140"/>
            </w:pPr>
            <w:r>
              <w:rPr>
                <w:rFonts w:ascii="Arial" w:hAnsi="Arial"/>
                <w:color w:val="FFFFFF"/>
                <w:sz w:val="20"/>
              </w:rPr>
              <w:t>✓ Notificar revisores e aprovadores.</w:t>
            </w:r>
          </w:p>
          <w:p>
            <w:pPr>
              <w:spacing w:after="140"/>
            </w:pPr>
            <w:r>
              <w:rPr>
                <w:rFonts w:ascii="Arial" w:hAnsi="Arial"/>
                <w:color w:val="FFFFFF"/>
                <w:sz w:val="20"/>
              </w:rPr>
              <w:t>✓ Criar lembretes e escalonamento de SLA.</w:t>
            </w:r>
          </w:p>
          <w:p>
            <w:pPr>
              <w:spacing w:after="140"/>
            </w:pPr>
            <w:r>
              <w:rPr>
                <w:rFonts w:ascii="Arial" w:hAnsi="Arial"/>
                <w:color w:val="FFFFFF"/>
                <w:sz w:val="20"/>
              </w:rPr>
              <w:t>✓ Abrir tarefas em Jira, Planner ou Teams.</w:t>
            </w:r>
          </w:p>
          <w:p>
            <w:pPr>
              <w:spacing w:after="140"/>
            </w:pPr>
            <w:r>
              <w:rPr>
                <w:rFonts w:ascii="Arial" w:hAnsi="Arial"/>
                <w:color w:val="FFFFFF"/>
                <w:sz w:val="20"/>
              </w:rPr>
              <w:t>✓ Acionar Bizagi após a aprovação final.</w:t>
            </w:r>
          </w:p>
          <w:p>
            <w:pPr>
              <w:spacing w:after="140"/>
            </w:pPr>
            <w:r>
              <w:rPr>
                <w:rFonts w:ascii="Arial" w:hAnsi="Arial"/>
                <w:color w:val="FFFFFF"/>
                <w:sz w:val="20"/>
              </w:rPr>
              <w:t>✓ Devolver resultado e falhas ao sistema.</w:t>
            </w:r>
          </w:p>
        </w:tc>
      </w:tr>
    </w:tbl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07 · BIZAGI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Da aprovação para a implementação</w:t>
      </w:r>
    </w:p>
    <w:p>
      <w:pPr>
        <w:spacing w:after="200"/>
      </w:pPr>
      <w:r>
        <w:rPr>
          <w:rFonts w:ascii="Arial" w:hAnsi="Arial"/>
          <w:color w:val="66737C"/>
          <w:sz w:val="22"/>
        </w:rPr>
        <w:t>O Bizagi recebe uma especificação consolidada, com versão, correlação e payload aprovado.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0000" cy="38615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o_bizag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861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08 · COMPARATIVO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Vantagens em relação ao documento anterior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rPr>
          <w:tblHeader w:val="true"/>
        </w:trPr>
        <w:tc>
          <w:tcPr>
            <w:tcW w:type="dxa" w:w="2381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5329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Documento anterior</w:t>
            </w:r>
          </w:p>
        </w:tc>
        <w:tc>
          <w:tcPr>
            <w:tcW w:type="dxa" w:w="5726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Ferramenta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Atualização</w:t>
            </w:r>
          </w:p>
        </w:tc>
        <w:tc>
          <w:tcPr>
            <w:tcW w:type="dxa" w:w="53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Edição manual do arquivo.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Campos editáveis com validação e persistência.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Perfis</w:t>
            </w:r>
          </w:p>
        </w:tc>
        <w:tc>
          <w:tcPr>
            <w:tcW w:type="dxa" w:w="5329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Tabela fixa por documento.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Cadastro, filtro, duplicação e exclusão controlada.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Permissões</w:t>
            </w:r>
          </w:p>
        </w:tc>
        <w:tc>
          <w:tcPr>
            <w:tcW w:type="dxa" w:w="53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Texto descritivo.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Matriz aplicável com dependências e regras.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Aprovação</w:t>
            </w:r>
          </w:p>
        </w:tc>
        <w:tc>
          <w:tcPr>
            <w:tcW w:type="dxa" w:w="5329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Fora do arquivo ou por troca de mensagens.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Fluxo formal em duas etapas.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Rastreabilidade</w:t>
            </w:r>
          </w:p>
        </w:tc>
        <w:tc>
          <w:tcPr>
            <w:tcW w:type="dxa" w:w="53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Histórico de revisões limitado.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Auditoria de cada alteração e decisão.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Versão</w:t>
            </w:r>
          </w:p>
        </w:tc>
        <w:tc>
          <w:tcPr>
            <w:tcW w:type="dxa" w:w="5329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Múltiplos arquivos e cópias.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Versão única, bloqueada após aprovação.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Busca e análise</w:t>
            </w:r>
          </w:p>
        </w:tc>
        <w:tc>
          <w:tcPr>
            <w:tcW w:type="dxa" w:w="53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Leitura manual.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Filtros, indicadores, catálogos e exportações.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Integração</w:t>
            </w:r>
          </w:p>
        </w:tc>
        <w:tc>
          <w:tcPr>
            <w:tcW w:type="dxa" w:w="5329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Reentrada manual de dados.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Eventos n8n e criação de caso Bizagi.</w:t>
            </w:r>
          </w:p>
        </w:tc>
      </w:tr>
      <w:tr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6"/>
              </w:rPr>
              <w:t>Escala</w:t>
            </w:r>
          </w:p>
        </w:tc>
        <w:tc>
          <w:tcPr>
            <w:tcW w:type="dxa" w:w="53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Novo documento por processo.</w:t>
            </w:r>
          </w:p>
        </w:tc>
        <w:tc>
          <w:tcPr>
            <w:tcW w:type="dxa" w:w="572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6"/>
              </w:rPr>
              <w:t>Plataforma reutilizável para vários processos.</w:t>
            </w:r>
          </w:p>
        </w:tc>
      </w:tr>
    </w:tbl>
    <w:p>
      <w:pPr>
        <w:spacing w:after="20"/>
      </w:pPr>
    </w:p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09 · BENEFÍCIOS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Valor operacional e de governança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c>
          <w:tcPr>
            <w:tcW w:type="dxa" w:w="4675"/>
            <w:tcMar>
              <w:top w:w="290" w:type="dxa"/>
              <w:start w:w="260" w:type="dxa"/>
              <w:bottom w:w="290" w:type="dxa"/>
              <w:end w:w="260" w:type="dxa"/>
            </w:tcMar>
            <w:shd w:fill="17232C"/>
          </w:tcPr>
          <w:p>
            <w:r>
              <w:rPr>
                <w:rFonts w:ascii="Arial" w:hAnsi="Arial"/>
                <w:b/>
                <w:color w:val="F2C500"/>
                <w:sz w:val="25"/>
              </w:rPr>
              <w:t>MENOS RETRABALHO</w:t>
            </w:r>
          </w:p>
          <w:p>
            <w:r>
              <w:rPr>
                <w:rFonts w:ascii="Arial" w:hAnsi="Arial"/>
                <w:color w:val="FFFFFF"/>
                <w:sz w:val="19"/>
              </w:rPr>
              <w:t>Elimina transcrição e consolidação manual.</w:t>
            </w:r>
          </w:p>
        </w:tc>
        <w:tc>
          <w:tcPr>
            <w:tcW w:type="dxa" w:w="4675"/>
            <w:tcMar>
              <w:top w:w="290" w:type="dxa"/>
              <w:start w:w="260" w:type="dxa"/>
              <w:bottom w:w="290" w:type="dxa"/>
              <w:end w:w="260" w:type="dxa"/>
            </w:tcMar>
            <w:shd w:fill="F1F3F4"/>
          </w:tcPr>
          <w:p>
            <w:r>
              <w:rPr>
                <w:rFonts w:ascii="Arial" w:hAnsi="Arial"/>
                <w:b/>
                <w:color w:val="111820"/>
                <w:sz w:val="25"/>
              </w:rPr>
              <w:t>MAIS CONTROLE</w:t>
            </w:r>
          </w:p>
          <w:p>
            <w:r>
              <w:rPr>
                <w:rFonts w:ascii="Arial" w:hAnsi="Arial"/>
                <w:color w:val="66737C"/>
                <w:sz w:val="19"/>
              </w:rPr>
              <w:t>Versão aprovada e regras centralizadas.</w:t>
            </w:r>
          </w:p>
        </w:tc>
        <w:tc>
          <w:tcPr>
            <w:tcW w:type="dxa" w:w="4675"/>
            <w:tcMar>
              <w:top w:w="290" w:type="dxa"/>
              <w:start w:w="260" w:type="dxa"/>
              <w:bottom w:w="290" w:type="dxa"/>
              <w:end w:w="260" w:type="dxa"/>
            </w:tcMar>
            <w:shd w:fill="17232C"/>
          </w:tcPr>
          <w:p>
            <w:r>
              <w:rPr>
                <w:rFonts w:ascii="Arial" w:hAnsi="Arial"/>
                <w:b/>
                <w:color w:val="F2C500"/>
                <w:sz w:val="25"/>
              </w:rPr>
              <w:t>MAIS VELOCIDADE</w:t>
            </w:r>
          </w:p>
          <w:p>
            <w:r>
              <w:rPr>
                <w:rFonts w:ascii="Arial" w:hAnsi="Arial"/>
                <w:color w:val="FFFFFF"/>
                <w:sz w:val="19"/>
              </w:rPr>
              <w:t>Aprovação, notificação e integração encadeadas.</w:t>
            </w:r>
          </w:p>
        </w:tc>
      </w:tr>
      <w:tr>
        <w:tc>
          <w:tcPr>
            <w:tcW w:type="dxa" w:w="4675"/>
            <w:tcMar>
              <w:top w:w="290" w:type="dxa"/>
              <w:start w:w="260" w:type="dxa"/>
              <w:bottom w:w="290" w:type="dxa"/>
              <w:end w:w="260" w:type="dxa"/>
            </w:tcMar>
            <w:shd w:fill="F1F3F4"/>
          </w:tcPr>
          <w:p>
            <w:r>
              <w:rPr>
                <w:rFonts w:ascii="Arial" w:hAnsi="Arial"/>
                <w:b/>
                <w:color w:val="111820"/>
                <w:sz w:val="25"/>
              </w:rPr>
              <w:t>MAIS AUDITORIA</w:t>
            </w:r>
          </w:p>
          <w:p>
            <w:r>
              <w:rPr>
                <w:rFonts w:ascii="Arial" w:hAnsi="Arial"/>
                <w:color w:val="66737C"/>
                <w:sz w:val="19"/>
              </w:rPr>
              <w:t>Responsável, data e justificativa por ação.</w:t>
            </w:r>
          </w:p>
        </w:tc>
        <w:tc>
          <w:tcPr>
            <w:tcW w:type="dxa" w:w="4675"/>
            <w:tcMar>
              <w:top w:w="290" w:type="dxa"/>
              <w:start w:w="260" w:type="dxa"/>
              <w:bottom w:w="290" w:type="dxa"/>
              <w:end w:w="260" w:type="dxa"/>
            </w:tcMar>
            <w:shd w:fill="17232C"/>
          </w:tcPr>
          <w:p>
            <w:r>
              <w:rPr>
                <w:rFonts w:ascii="Arial" w:hAnsi="Arial"/>
                <w:b/>
                <w:color w:val="F2C500"/>
                <w:sz w:val="25"/>
              </w:rPr>
              <w:t>MENOR RISCO</w:t>
            </w:r>
          </w:p>
          <w:p>
            <w:r>
              <w:rPr>
                <w:rFonts w:ascii="Arial" w:hAnsi="Arial"/>
                <w:color w:val="FFFFFF"/>
                <w:sz w:val="19"/>
              </w:rPr>
              <w:t>Validações, segregação e bloqueio pós-aprovação.</w:t>
            </w:r>
          </w:p>
        </w:tc>
        <w:tc>
          <w:tcPr>
            <w:tcW w:type="dxa" w:w="4675"/>
            <w:tcMar>
              <w:top w:w="290" w:type="dxa"/>
              <w:start w:w="260" w:type="dxa"/>
              <w:bottom w:w="290" w:type="dxa"/>
              <w:end w:w="260" w:type="dxa"/>
            </w:tcMar>
            <w:shd w:fill="F1F3F4"/>
          </w:tcPr>
          <w:p>
            <w:r>
              <w:rPr>
                <w:rFonts w:ascii="Arial" w:hAnsi="Arial"/>
                <w:b/>
                <w:color w:val="111820"/>
                <w:sz w:val="25"/>
              </w:rPr>
              <w:t>REUSO</w:t>
            </w:r>
          </w:p>
          <w:p>
            <w:r>
              <w:rPr>
                <w:rFonts w:ascii="Arial" w:hAnsi="Arial"/>
                <w:color w:val="66737C"/>
                <w:sz w:val="19"/>
              </w:rPr>
              <w:t>A mesma plataforma atende novos processos.</w:t>
            </w:r>
          </w:p>
        </w:tc>
      </w:tr>
    </w:tbl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10 · PRODUÇÃO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O que falta para disponibilizar aos usuários</w:t>
      </w:r>
    </w:p>
    <w:p>
      <w:pPr>
        <w:spacing w:after="200"/>
      </w:pPr>
      <w:r>
        <w:rPr>
          <w:rFonts w:ascii="Arial" w:hAnsi="Arial"/>
          <w:color w:val="66737C"/>
          <w:sz w:val="22"/>
        </w:rPr>
        <w:t>A base funcional precisa passar por hardening corporativo antes do go-live.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8000" cy="35855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produ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358556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fill="FFF5C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F2C500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111820"/>
                <w:sz w:val="21"/>
              </w:rPr>
              <w:t>Bloqueadores do go-live</w:t>
              <w:br/>
            </w:r>
            <w:r>
              <w:rPr>
                <w:rFonts w:ascii="Arial" w:hAnsi="Arial"/>
                <w:color w:val="111820"/>
                <w:sz w:val="18"/>
              </w:rPr>
              <w:t>SSO e RBAC · PostgreSQL e migrações · HTTPS e secrets · filas resilientes · monitoramento · backup/restauração · homologação Bizagi/n8n.</w:t>
            </w:r>
          </w:p>
        </w:tc>
      </w:tr>
    </w:tbl>
    <w:p>
      <w:pPr>
        <w:spacing w:after="20"/>
      </w:pPr>
    </w:p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11 · IMPLANTAÇÃO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Roadmap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rPr>
          <w:tblHeader w:val="true"/>
        </w:trPr>
        <w:tc>
          <w:tcPr>
            <w:tcW w:type="dxa" w:w="2835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7654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Entregas</w:t>
            </w:r>
          </w:p>
        </w:tc>
        <w:tc>
          <w:tcPr>
            <w:tcW w:type="dxa" w:w="2948"/>
            <w:shd w:fill="17232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8"/>
              </w:rPr>
              <w:t>1. Preparação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Escopo, papéis, arquitetura, ambientes e riscos.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Plano aprovado.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8"/>
              </w:rPr>
              <w:t>2. Hardening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SSO/RBAC, PostgreSQL, migrações, segurança e filas.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Build candidato.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8"/>
              </w:rPr>
              <w:t>3. Homologação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UAT, performance, backup, n8n e Bizagi.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Aceite formal.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/>
                <w:color w:val="111820"/>
                <w:sz w:val="18"/>
              </w:rPr>
              <w:t>4. Go-live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Deploy, migração, smoke test e comunicação.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shd w:fill="F5F6F7"/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Sistema disponível.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color w:val="111820"/>
                <w:sz w:val="18"/>
              </w:rPr>
              <w:t>5. Hypercare</w:t>
            </w:r>
          </w:p>
        </w:tc>
        <w:tc>
          <w:tcPr>
            <w:tcW w:type="dxa" w:w="765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Monitoramento, suporte e ajustes controlados.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color w:val="111820"/>
                <w:sz w:val="18"/>
              </w:rPr>
              <w:t>Operação estabilizada.</w:t>
            </w:r>
          </w:p>
        </w:tc>
      </w:tr>
    </w:tbl>
    <w:p>
      <w:pPr>
        <w:spacing w:after="20"/>
      </w:pPr>
    </w:p>
    <w:p>
      <w:pPr>
        <w:pageBreakBefore/>
        <w:spacing w:after="80"/>
      </w:pPr>
      <w:r>
        <w:rPr>
          <w:rFonts w:ascii="Arial" w:hAnsi="Arial"/>
          <w:b/>
          <w:color w:val="F2C500"/>
          <w:sz w:val="17"/>
        </w:rPr>
        <w:t>12 · DECISÕES</w:t>
      </w:r>
    </w:p>
    <w:p>
      <w:pPr>
        <w:spacing w:after="100"/>
      </w:pPr>
      <w:r>
        <w:rPr>
          <w:rFonts w:ascii="Arial" w:hAnsi="Arial"/>
          <w:b/>
          <w:color w:val="111820"/>
          <w:sz w:val="54"/>
        </w:rPr>
        <w:t>Próximos passos para avançar</w:t>
      </w:r>
    </w:p>
    <w:p>
      <w:pPr>
        <w:pStyle w:val="ListBullet"/>
        <w:spacing w:after="80"/>
        <w:ind w:left="283" w:hanging="142"/>
      </w:pPr>
      <w:r>
        <w:rPr>
          <w:rFonts w:ascii="Arial" w:hAnsi="Arial"/>
          <w:sz w:val="18"/>
        </w:rPr>
        <w:t>Aprovar o sistema como fonte oficial da especificação de perfis e permissões.</w:t>
      </w:r>
    </w:p>
    <w:p>
      <w:pPr>
        <w:pStyle w:val="ListBullet"/>
        <w:spacing w:after="80"/>
        <w:ind w:left="283" w:hanging="142"/>
      </w:pPr>
      <w:r>
        <w:rPr>
          <w:rFonts w:ascii="Arial" w:hAnsi="Arial"/>
          <w:sz w:val="18"/>
        </w:rPr>
        <w:t>Definir o provedor de identidade e os papéis corporativos.</w:t>
      </w:r>
    </w:p>
    <w:p>
      <w:pPr>
        <w:pStyle w:val="ListBullet"/>
        <w:spacing w:after="80"/>
        <w:ind w:left="283" w:hanging="142"/>
      </w:pPr>
      <w:r>
        <w:rPr>
          <w:rFonts w:ascii="Arial" w:hAnsi="Arial"/>
          <w:sz w:val="18"/>
        </w:rPr>
        <w:t>Escolher infraestrutura e responsáveis por DEV, HML e PROD.</w:t>
      </w:r>
    </w:p>
    <w:p>
      <w:pPr>
        <w:pStyle w:val="ListBullet"/>
        <w:spacing w:after="80"/>
        <w:ind w:left="283" w:hanging="142"/>
      </w:pPr>
      <w:r>
        <w:rPr>
          <w:rFonts w:ascii="Arial" w:hAnsi="Arial"/>
          <w:sz w:val="18"/>
        </w:rPr>
        <w:t>Confirmar se o Bizagi receberá JSON integral ou coleção estruturada.</w:t>
      </w:r>
    </w:p>
    <w:p>
      <w:pPr>
        <w:pStyle w:val="ListBullet"/>
        <w:spacing w:after="80"/>
        <w:ind w:left="283" w:hanging="142"/>
      </w:pPr>
      <w:r>
        <w:rPr>
          <w:rFonts w:ascii="Arial" w:hAnsi="Arial"/>
          <w:sz w:val="18"/>
        </w:rPr>
        <w:t>Solicitar OAuth, usuário técnico, Process GUID e XPaths ao time Bizagi.</w:t>
      </w:r>
    </w:p>
    <w:p>
      <w:pPr>
        <w:pStyle w:val="ListBullet"/>
        <w:spacing w:after="80"/>
        <w:ind w:left="283" w:hanging="142"/>
      </w:pPr>
      <w:r>
        <w:rPr>
          <w:rFonts w:ascii="Arial" w:hAnsi="Arial"/>
          <w:sz w:val="18"/>
        </w:rPr>
        <w:t>Definir canais e SLA que o n8n deverá automatizar.</w:t>
      </w:r>
    </w:p>
    <w:p>
      <w:pPr>
        <w:pStyle w:val="ListBullet"/>
        <w:spacing w:after="80"/>
        <w:ind w:left="283" w:hanging="142"/>
      </w:pPr>
      <w:r>
        <w:rPr>
          <w:rFonts w:ascii="Arial" w:hAnsi="Arial"/>
          <w:sz w:val="18"/>
        </w:rPr>
        <w:t>Executar o plano de hardening, homologação e go-live.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026"/>
      </w:tblGrid>
      <w:tr>
        <w:tc>
          <w:tcPr>
            <w:tcW w:type="dxa" w:w="14026"/>
            <w:shd w:fill="17232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17232C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Proposta de decisão</w:t>
              <w:br/>
            </w:r>
            <w:r>
              <w:rPr>
                <w:rFonts w:ascii="Arial" w:hAnsi="Arial"/>
                <w:color w:val="FFFFFF"/>
                <w:sz w:val="18"/>
              </w:rPr>
              <w:t>Iniciar uma fase curta de produção assistida: hardening técnico, homologação integrada e piloto com um grupo restrito antes da expansão.</w:t>
            </w:r>
          </w:p>
        </w:tc>
      </w:tr>
    </w:tbl>
    <w:p>
      <w:pPr>
        <w:spacing w:after="20"/>
      </w:pPr>
    </w:p>
    <w:p>
      <w:pPr>
        <w:pStyle w:val="Heading2"/>
      </w:pPr>
      <w:r>
        <w:t>Referências</w:t>
      </w:r>
    </w:p>
    <w:p>
      <w:r>
        <w:rPr>
          <w:rFonts w:ascii="Arial" w:hAnsi="Arial"/>
          <w:color w:val="66737C"/>
          <w:sz w:val="17"/>
        </w:rPr>
        <w:t>Base documental: 2276-P06-Protocolos-Ocorrências_R1 e versão 1.6 da ferramenta. Fontes técnicas oficiais: Bizagi OData/OAuth, FastAPI Deployment, Docker Compose Production e n8n Webhooks/Queue Mode.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75"/>
      <w:gridCol w:w="4675"/>
      <w:gridCol w:w="4675"/>
    </w:tblGrid>
    <w:tr>
      <w:tc>
        <w:tcPr>
          <w:tcW w:type="dxa" w:w="4675"/>
          <w:tcBorders>
            <w:top w:val="single" w:sz="4" w:color="D9DDE0"/>
          </w:tcBorders>
        </w:tcPr>
        <w:p>
          <w:r>
            <w:rPr>
              <w:rFonts w:ascii="Arial" w:hAnsi="Arial"/>
              <w:color w:val="66737C"/>
              <w:sz w:val="16"/>
            </w:rPr>
            <w:t>CAEd · Documento de apoio</w:t>
          </w:r>
        </w:p>
      </w:tc>
      <w:tc>
        <w:tcPr>
          <w:tcW w:type="dxa" w:w="4675"/>
          <w:tcBorders>
            <w:top w:val="single" w:sz="4" w:color="D9DDE0"/>
          </w:tcBorders>
        </w:tcPr>
        <w:p>
          <w:pPr>
            <w:jc w:val="center"/>
          </w:pPr>
          <w:r>
            <w:rPr>
              <w:rFonts w:ascii="Arial" w:hAnsi="Arial"/>
              <w:color w:val="66737C"/>
              <w:sz w:val="16"/>
            </w:rPr>
            <w:t>Versão 1.6</w:t>
          </w:r>
        </w:p>
      </w:tc>
      <w:tc>
        <w:tcPr>
          <w:tcW w:type="dxa" w:w="4675"/>
          <w:tcBorders>
            <w:top w:val="single" w:sz="4" w:color="D9DDE0"/>
          </w:tcBorders>
        </w:tcPr>
        <w:p>
          <w:pPr>
            <w:jc w:val="right"/>
          </w:pPr>
          <w:r>
            <w:rPr>
              <w:rFonts w:ascii="Arial" w:hAnsi="Arial"/>
              <w:color w:val="66737C"/>
              <w:sz w:val="16"/>
            </w:rPr>
            <w:t xml:space="preserve">Página </w:t>
          </w:r>
          <w:r>
            <w:rPr>
              <w:rFonts w:ascii="Arial" w:hAnsi="Arial"/>
              <w:color w:val="66737C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835"/>
      <w:gridCol w:w="6803"/>
    </w:tblGrid>
    <w:tr>
      <w:tc>
        <w:tcPr>
          <w:tcW w:type="dxa" w:w="7013"/>
          <w:tcBorders>
            <w:bottom w:val="single" w:sz="8" w:color="F2C500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1296000" cy="28973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e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28973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013"/>
          <w:tcBorders>
            <w:bottom w:val="single" w:sz="8" w:color="F2C500"/>
          </w:tcBorders>
        </w:tcPr>
        <w:p>
          <w:pPr>
            <w:jc w:val="right"/>
          </w:pPr>
          <w:r>
            <w:rPr>
              <w:rFonts w:ascii="Arial" w:hAnsi="Arial"/>
              <w:b/>
              <w:color w:val="66737C"/>
              <w:sz w:val="16"/>
            </w:rPr>
            <w:t>GESTÃO DE PERFIS E PERMISSÕES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118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313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231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118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