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53"/>
        <w:gridCol w:w="3833"/>
      </w:tblGrid>
      <w:tr>
        <w:tc>
          <w:tcPr>
            <w:tcW w:type="dxa" w:w="5043"/>
            <w:shd w:fill="17232C"/>
            <w:tcMar>
              <w:top w:w="500" w:type="dxa"/>
              <w:start w:w="500" w:type="dxa"/>
              <w:bottom w:w="500" w:type="dxa"/>
              <w:end w:w="500" w:type="dxa"/>
            </w:tcMar>
          </w:tcPr>
          <w:p>
            <w:r>
              <w:rPr>
                <w:rFonts w:ascii="Arial" w:hAnsi="Arial"/>
                <w:b/>
                <w:color w:val="F2C500"/>
                <w:sz w:val="18"/>
              </w:rPr>
              <w:t>GUIA TÉCNICO-OPERACIONAL</w:t>
            </w:r>
          </w:p>
          <w:p>
            <w:pPr>
              <w:spacing w:before="360" w:after="240"/>
            </w:pPr>
            <w:r>
              <w:rPr>
                <w:rFonts w:ascii="Arial" w:hAnsi="Arial"/>
                <w:b/>
                <w:color w:val="FFFFFF"/>
                <w:sz w:val="62"/>
              </w:rPr>
              <w:t>Guia de produção e integração Bizagi</w:t>
            </w:r>
          </w:p>
          <w:p>
            <w:pPr>
              <w:spacing w:after="800"/>
            </w:pPr>
            <w:r>
              <w:rPr>
                <w:rFonts w:ascii="Arial" w:hAnsi="Arial"/>
                <w:color w:val="DDE3E6"/>
                <w:sz w:val="26"/>
              </w:rPr>
              <w:t>Plano completo para transformar a versão 1.6 em um serviço corporativo seguro, disponível e operável.</w:t>
            </w:r>
          </w:p>
          <w:p>
            <w:r>
              <w:rPr>
                <w:rFonts w:ascii="Arial" w:hAnsi="Arial"/>
                <w:b/>
                <w:color w:val="FFFFFF"/>
                <w:sz w:val="21"/>
              </w:rPr>
              <w:t>Sistema de Perfis e Permissões · CAEd / Bizagi / n8n</w:t>
            </w:r>
          </w:p>
          <w:p>
            <w:r>
              <w:rPr>
                <w:rFonts w:ascii="Arial" w:hAnsi="Arial"/>
                <w:color w:val="B7C0C6"/>
                <w:sz w:val="19"/>
              </w:rPr>
              <w:t>Elaborado em 25 de junho de 2026</w:t>
            </w:r>
          </w:p>
        </w:tc>
        <w:tc>
          <w:tcPr>
            <w:tcW w:type="dxa" w:w="5043"/>
            <w:shd w:fill="F2C500"/>
            <w:tcMar>
              <w:top w:w="500" w:type="dxa"/>
              <w:start w:w="500" w:type="dxa"/>
              <w:bottom w:w="500" w:type="dxa"/>
              <w:end w:w="5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3621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e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62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spacing w:before="600"/>
              <w:jc w:val="center"/>
            </w:pPr>
            <w:r>
              <w:rPr>
                <w:rFonts w:ascii="Arial" w:hAnsi="Arial"/>
                <w:b/>
                <w:color w:val="111820"/>
                <w:sz w:val="34"/>
              </w:rPr>
              <w:t>DA ESPECIFICAÇÃO</w:t>
              <w:br/>
              <w:t>À GOVERNANÇA DIGITAL</w:t>
            </w:r>
          </w:p>
        </w:tc>
      </w:tr>
    </w:tbl>
    <w:p>
      <w:r>
        <w:br w:type="page"/>
      </w:r>
    </w:p>
    <w:p>
      <w:pPr>
        <w:pStyle w:val="Heading1"/>
      </w:pPr>
      <w:r>
        <w:t>Resumo executivo</w:t>
      </w:r>
    </w:p>
    <w:p>
      <w:r>
        <w:rPr>
          <w:rFonts w:ascii="Arial" w:hAnsi="Arial"/>
          <w:b/>
          <w:color w:val="111820"/>
          <w:sz w:val="22"/>
        </w:rPr>
        <w:t>A versão 1.6 é uma base funcional de homologação, não uma publicação definitiva de produção.</w:t>
      </w:r>
      <w:r>
        <w:t xml:space="preserve"> Ela já implementa cadastro de processos, matriz de perfis e permissões, fluxo de aprovação, notificações, trilha de auditoria e conectores iniciais para n8n e Bizagi. Para usuários reais, porém, ainda são obrigatórios autenticação corporativa, autorização por papel, PostgreSQL, migrações controladas, HTTPS, gestão de segredos, observabilidade, backup e processamento resiliente das integrações.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5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F2C500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Recomendação principal</w:t>
              <w:br/>
            </w:r>
            <w:r>
              <w:rPr>
                <w:rFonts w:ascii="Arial" w:hAnsi="Arial"/>
                <w:color w:val="111820"/>
                <w:sz w:val="18"/>
              </w:rPr>
              <w:t>Não publicar o ZIP diretamente em um servidor exposto. Utilize a sequência DEV → Homologação → Produção e conclua os bloqueadores de segurança e operação descritos neste guia.</w:t>
            </w:r>
          </w:p>
        </w:tc>
      </w:tr>
    </w:tbl>
    <w:p>
      <w:pPr>
        <w:spacing w:after="20"/>
      </w:pPr>
    </w:p>
    <w:p>
      <w:pPr>
        <w:pStyle w:val="Heading2"/>
      </w:pPr>
      <w:r>
        <w:t>Leitura rápida — sequência do início ao fim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1. </w:t>
      </w:r>
      <w:r>
        <w:rPr>
          <w:rFonts w:ascii="Arial" w:hAnsi="Arial"/>
          <w:sz w:val="18"/>
        </w:rPr>
        <w:t>Definir patrocinador, dono do produto, responsáveis técnicos e regras de acesso.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2. </w:t>
      </w:r>
      <w:r>
        <w:rPr>
          <w:rFonts w:ascii="Arial" w:hAnsi="Arial"/>
          <w:sz w:val="18"/>
        </w:rPr>
        <w:t>Provisionar ambientes separados de desenvolvimento, homologação e produção.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3. </w:t>
      </w:r>
      <w:r>
        <w:rPr>
          <w:rFonts w:ascii="Arial" w:hAnsi="Arial"/>
          <w:sz w:val="18"/>
        </w:rPr>
        <w:t>Implementar login corporativo e autorização por papéis antes de permitir usuários reais.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4. </w:t>
      </w:r>
      <w:r>
        <w:rPr>
          <w:rFonts w:ascii="Arial" w:hAnsi="Arial"/>
          <w:sz w:val="18"/>
        </w:rPr>
        <w:t>Trocar SQLite por PostgreSQL e introduzir migrações versionadas.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5. </w:t>
      </w:r>
      <w:r>
        <w:rPr>
          <w:rFonts w:ascii="Arial" w:hAnsi="Arial"/>
          <w:sz w:val="18"/>
        </w:rPr>
        <w:t>Construir imagem Docker imutável e pipeline de testes, segurança e publicação.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6. </w:t>
      </w:r>
      <w:r>
        <w:rPr>
          <w:rFonts w:ascii="Arial" w:hAnsi="Arial"/>
          <w:sz w:val="18"/>
        </w:rPr>
        <w:t>Provisionar DNS, HTTPS, proxy reverso, banco, backup, logs, métricas e cofre de segredos.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7. </w:t>
      </w:r>
      <w:r>
        <w:rPr>
          <w:rFonts w:ascii="Arial" w:hAnsi="Arial"/>
          <w:sz w:val="18"/>
        </w:rPr>
        <w:t>Homologar o fluxo funcional completo sem Bizagi e sem n8n.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8. </w:t>
      </w:r>
      <w:r>
        <w:rPr>
          <w:rFonts w:ascii="Arial" w:hAnsi="Arial"/>
          <w:sz w:val="18"/>
        </w:rPr>
        <w:t>Homologar n8n com Webhook de produção, autenticação e callback.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9. </w:t>
      </w:r>
      <w:r>
        <w:rPr>
          <w:rFonts w:ascii="Arial" w:hAnsi="Arial"/>
          <w:sz w:val="18"/>
        </w:rPr>
        <w:t>Homologar Bizagi com OAuth 2.0, Process GUID e XPaths do formulário inicial.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10. </w:t>
      </w:r>
      <w:r>
        <w:rPr>
          <w:rFonts w:ascii="Arial" w:hAnsi="Arial"/>
          <w:sz w:val="18"/>
        </w:rPr>
        <w:t>Executar UAT, teste de restauração, teste de falha, aprovação de segurança e go-live controlado.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11. </w:t>
      </w:r>
      <w:r>
        <w:rPr>
          <w:rFonts w:ascii="Arial" w:hAnsi="Arial"/>
          <w:sz w:val="18"/>
        </w:rPr>
        <w:t>Operar com monitoramento, suporte, rotação de credenciais, backup e plano de rollback.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1. Diagnóstico da versão atual</w:t>
      </w:r>
    </w:p>
    <w:p>
      <w:pPr>
        <w:spacing w:after="160"/>
      </w:pPr>
      <w:r>
        <w:rPr>
          <w:rFonts w:ascii="Arial" w:hAnsi="Arial"/>
          <w:color w:val="66737C"/>
          <w:sz w:val="20"/>
        </w:rPr>
        <w:t>O primeiro passo é separar o que já está entregue do que precisa ser endurecido para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02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Situação na v1.6</w:t>
            </w:r>
          </w:p>
        </w:tc>
        <w:tc>
          <w:tcPr>
            <w:tcW w:type="dxa" w:w="3969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Exigência de produção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Interface e fluxo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Funcionais; páginas, aprovação e notificações implementadas.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Validar usabilidade, acessibilidade e autorização por rota/ação.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Identidade do usuário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Usuário atual é lido de uma configuração interna.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SSO/OIDC real, sessão segura, MFA no IdP e logout.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Autorização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Papéis cadastrados, mas sem bloqueio de acesso efetivo.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RBAC aplicado no back-end e no front-end.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Banco de dados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SQLite local e criação automática de tabelas.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PostgreSQL, migrações Alembic, backup e alta disponibilidade.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Servidor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Uvicorn simples; Dockerfile de base.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Contêiner imutável, health checks, réplicas e proxy HTTPS.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Bizagi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Cliente OAuth/OData inicia um caso.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Homologar credenciais, Process GUID, XPaths, idempotência e retorno.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n8n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Webhook síncrono com segredo em header.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URL de produção, cofre de credenciais, retries, monitoramento e SLA.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Logs e auditoria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Eventos de negócio gravados no banco.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Logs técnicos centralizados, correlação, retenção e proteção contra alteração.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Backup/recuperação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Não configurado.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Política, testes de restauração e RPO/RTO aprovados.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8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C4473A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Bloqueador crítico</w:t>
              <w:br/>
            </w:r>
            <w:r>
              <w:rPr>
                <w:rFonts w:ascii="Arial" w:hAnsi="Arial"/>
                <w:color w:val="111820"/>
                <w:sz w:val="18"/>
              </w:rPr>
              <w:t>A aplicação não possui autenticação de usuários. Portanto, a primeira publicação deve permanecer restrita a desenvolvimento/homologação até que SSO e RBAC estejam ativos.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2. Arquitetura recomendada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46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rodu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66737C"/>
          <w:sz w:val="16"/>
        </w:rPr>
        <w:t>Arquitetura-alvo com separação de responsabilidades e integrações resilientes.</w:t>
      </w:r>
    </w:p>
    <w:p>
      <w:pPr>
        <w:pStyle w:val="Heading2"/>
      </w:pPr>
      <w:r>
        <w:t>2.1 Opção de piloto controlado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Uma máquina virtual corporativa ou serviço de contêiner, acessível apenas pela rede interna/VPN.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Proxy reverso com HTTPS, um contêiner da aplicação e PostgreSQL gerenciado ou dedicado.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n8n em instância separada, com subdomínio e credenciais próprias.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Backups diários, logs centralizados e monitoramento de disponibilidade.</w:t>
      </w:r>
    </w:p>
    <w:p>
      <w:pPr>
        <w:pStyle w:val="Heading2"/>
      </w:pPr>
      <w:r>
        <w:t>2.2 Opção recomendada para operação crítica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Balanceador de carga e pelo menos duas réplicas da aplicação.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PostgreSQL gerenciado com redundância, backup automático e point-in-time recovery.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Redis e worker assíncrono para Bizagi/n8n, com retry, dead-letter e idempotência.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Observabilidade com métricas, traces, logs e alertas; cofre de segredos corporativo.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Pipeline CI/CD com aprovação para produção e rollback por versão de imagem.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1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2F6F9F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Base técnica</w:t>
              <w:br/>
            </w:r>
            <w:r>
              <w:rPr>
                <w:rFonts w:ascii="Arial" w:hAnsi="Arial"/>
                <w:color w:val="111820"/>
                <w:sz w:val="18"/>
              </w:rPr>
              <w:t>FastAPI recomenda que a aplicação de produção seja iniciada automaticamente, suporte reinício e, conforme a carga, utilize replicação de processos ou contêineres. Docker recomenda uma configuração específica de produção, sem bind mount do código e com serviços adicionais de operação.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3. Times, decisões e acessos necessários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7030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 que precisa entregar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Dono do produto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Escopo, regras, aprovadores, critérios de aceite e prioridade.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Desenvolvimento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Hardening, SSO/RBAC, PostgreSQL, migrações, filas, testes e correções.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Infra/Cloud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Servidores/serviços, DNS, TLS, rede, registry, backup, observabilidade e CI/CD.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Segurança/IAM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IdP, grupos, MFA, secrets, revisão de riscos, firewall e pentest.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DBA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PostgreSQL, usuários, privilégios, backup, retenção, restauração e monitoramento.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Equipe Bizagi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Processo, formulário inicial, XPaths, OAuth, usuário técnico e suporte.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Equipe n8n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Instância, workflow, credenciais, notificações, SLA e monitoramento.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Operação/Service Desk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Catálogo de serviço, atendimento, escalonamento e comunicação.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4. Preparação do código para produção</w:t>
      </w:r>
    </w:p>
    <w:p>
      <w:pPr>
        <w:pStyle w:val="Heading2"/>
      </w:pPr>
      <w:r>
        <w:t>4.1 Autenticação e autorização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Integrar o sistema ao provedor de identidade corporativo por OIDC/OAuth 2.0, preferencialmente Entra ID, Keycloak ou IdP já homologado.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Criar sessão segura com cookies HttpOnly, Secure e SameSite; implementar expiração, logout e renovação controlada.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Mapear grupos do IdP para papéis do sistema: Solicitante, Revisor, Aprovador, Administrador e Auditor.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Aplicar autorização no back-end de todas as rotas e ações; ocultar botões no front-end é apenas uma camada adicional.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Registrar o identificador real do usuário em auditoria, aprovação e notificações.</w:t>
      </w:r>
    </w:p>
    <w:p>
      <w:pPr>
        <w:pStyle w:val="Heading2"/>
      </w:pPr>
      <w:r>
        <w:t>4.2 Banco e migrações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Adicionar driver PostgreSQL e alterar DATABASE_URL.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Adicionar Alembic e gerar uma migração inicial; remover ALTER TABLE manual como mecanismo principal.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Desabilitar carga automática de dados de demonstração em produção ou executá-la apenas por comando administrativo explícito.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Criar índices, constraints, unicidade de correlação e política de retenção.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r>
              <w:rPr>
                <w:rFonts w:ascii="Consolas" w:hAnsi="Consolas"/>
                <w:color w:val="17232C"/>
                <w:sz w:val="16"/>
              </w:rPr>
              <w:t>APP_ENV=production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DATABASE_URL=postgresql+psycopg://app_perfis:&lt;SEGREDO&gt;@postgres:5432/perfis_permissoes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SECRET_KEY=&lt;GERADA_E_ARMAZENADA_NO_COFRE&gt;</w:t>
            </w:r>
          </w:p>
        </w:tc>
      </w:tr>
    </w:tbl>
    <w:p>
      <w:pPr>
        <w:spacing w:after="20"/>
      </w:pPr>
    </w:p>
    <w:p>
      <w:pPr>
        <w:pStyle w:val="Heading2"/>
      </w:pPr>
      <w:r>
        <w:t>4.3 Resiliência das integrações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Não executar n8n e Bizagi no mesmo ciclo HTTP da ação do usuário em produção.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Gravar um job, responder ao usuário e processar em worker assíncrono.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Usar chave idempotente composta por processo, versão e evento; não criar dois casos Bizagi para o mesmo envio.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Aplicar retry exponencial, timeout, circuit breaker e fila de falhas para reprocessamento manual.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Propagar correlation_id em aplicação, n8n, Bizagi e logs.</w:t>
      </w:r>
    </w:p>
    <w:p>
      <w:pPr>
        <w:pStyle w:val="Heading2"/>
      </w:pPr>
      <w:r>
        <w:t>4.4 Segurança da aplicação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Validar CSRF para operações por formulário/sessão; restringir CORS quando houver clientes externos.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Aplicar headers de segurança, HSTS, limite de requisições e tamanho de payload.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Remover Swagger público em produção ou restringi-lo por autenticação/rede.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Executar análise de dependências, imagem de contêiner, SAST e teste de penetração.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Nunca registrar secrets ou payloads sensíveis em texto aberto nos logs.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5. Provisionamento da infraestrutura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24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a solicitar</w:t>
            </w:r>
          </w:p>
        </w:tc>
        <w:tc>
          <w:tcPr>
            <w:tcW w:type="dxa" w:w="6973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Requisito mínimo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DNS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Ex.: perfis-permissoes.hml.instituicao.br e perfis-permissoes.instituicao.br.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TLS/HTTPS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Certificado corporativo, renovação automática e redirecionamento HTTP→HTTPS.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Compute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Serviço de contêiner ou VM Linux com capacidade definida após teste de carga.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Registry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Registro privado para imagens versionadas e assinadas.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PostgreSQL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Instâncias separadas HML/PROD; backup, PITR, criptografia e usuário de menor privilégio.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Redis/worker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Fila de integrações, se adotado o desenho resiliente recomendado.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Segredos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Vault/Secrets Manager; acesso por identidade da aplicação, não por arquivo compartilhado.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Rede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Saída HTTPS para Bizagi/n8n; entrada apenas via proxy; allowlist se exigida.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Observabilidade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Logs, métricas, alertas de disponibilidade, erro, fila e banco.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Backup</w:t>
            </w:r>
          </w:p>
        </w:tc>
        <w:tc>
          <w:tcPr>
            <w:tcW w:type="dxa" w:w="697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Política de frequência, retenção, criptografia e teste periódico de restauração.</w:t>
            </w:r>
          </w:p>
        </w:tc>
      </w:tr>
    </w:tbl>
    <w:p>
      <w:pPr>
        <w:spacing w:after="20"/>
      </w:pPr>
    </w:p>
    <w:p>
      <w:pPr>
        <w:pStyle w:val="Heading2"/>
      </w:pPr>
      <w:r>
        <w:t>5.1 Ambientes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4535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061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Dados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DEV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Desenvolvimento e testes rápidos.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Sintéticos.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HML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UAT, segurança, integração n8n/Bizagi e treinamento.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Mascarados ou sintéticos representativos.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PROD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Uso oficial.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Reais, com controle de acesso e retenção.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6. Pipeline de implantação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1. </w:t>
      </w:r>
      <w:r>
        <w:rPr>
          <w:rFonts w:ascii="Arial" w:hAnsi="Arial"/>
          <w:sz w:val="18"/>
        </w:rPr>
        <w:t>Código versionado em Git, com branch protegida e revisão obrigatória.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2. </w:t>
      </w:r>
      <w:r>
        <w:rPr>
          <w:rFonts w:ascii="Arial" w:hAnsi="Arial"/>
          <w:sz w:val="18"/>
        </w:rPr>
        <w:t>Pipeline executa lint, testes automatizados, análise de segurança e build da imagem.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3. </w:t>
      </w:r>
      <w:r>
        <w:rPr>
          <w:rFonts w:ascii="Arial" w:hAnsi="Arial"/>
          <w:sz w:val="18"/>
        </w:rPr>
        <w:t>Imagem recebe tag imutável com versão/commit e é publicada no registry.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4. </w:t>
      </w:r>
      <w:r>
        <w:rPr>
          <w:rFonts w:ascii="Arial" w:hAnsi="Arial"/>
          <w:sz w:val="18"/>
        </w:rPr>
        <w:t>Deploy em DEV; smoke test automático em /health e rotas principais.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5. </w:t>
      </w:r>
      <w:r>
        <w:rPr>
          <w:rFonts w:ascii="Arial" w:hAnsi="Arial"/>
          <w:sz w:val="18"/>
        </w:rPr>
        <w:t>Promoção da mesma imagem para HML; migrações executadas como job único.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6. </w:t>
      </w:r>
      <w:r>
        <w:rPr>
          <w:rFonts w:ascii="Arial" w:hAnsi="Arial"/>
          <w:sz w:val="18"/>
        </w:rPr>
        <w:t>UAT, testes de integração e aprovação formal de segurança/produto.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7. </w:t>
      </w:r>
      <w:r>
        <w:rPr>
          <w:rFonts w:ascii="Arial" w:hAnsi="Arial"/>
          <w:sz w:val="18"/>
        </w:rPr>
        <w:t>Promoção para PROD em janela controlada; backup prévio e plano de rollback.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8. </w:t>
      </w:r>
      <w:r>
        <w:rPr>
          <w:rFonts w:ascii="Arial" w:hAnsi="Arial"/>
          <w:sz w:val="18"/>
        </w:rPr>
        <w:t>Smoke test, monitoramento reforçado e comunicação de go-live.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r>
              <w:rPr>
                <w:rFonts w:ascii="Consolas" w:hAnsi="Consolas"/>
                <w:color w:val="17232C"/>
                <w:sz w:val="16"/>
              </w:rPr>
              <w:t># Exemplo conceitual de implantação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1. docker build -t registry/sistema-perfis:1.6.x .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2. docker push registry/sistema-perfis:1.6.x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3. executar migrações Alembic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4. iniciar/recriar serviço com a imagem aprovada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5. validar GET /health e fluxo de login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7. Configuração de produção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8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C4473A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Atenção</w:t>
              <w:br/>
            </w:r>
            <w:r>
              <w:rPr>
                <w:rFonts w:ascii="Arial" w:hAnsi="Arial"/>
                <w:color w:val="111820"/>
                <w:sz w:val="18"/>
              </w:rPr>
              <w:t>O .env atual é um modelo de desenvolvimento. Em produção, os valores sensíveis devem vir de um cofre e não devem ser enviados ao Git.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r>
              <w:rPr>
                <w:rFonts w:ascii="Consolas" w:hAnsi="Consolas"/>
                <w:color w:val="17232C"/>
                <w:sz w:val="16"/>
              </w:rPr>
              <w:t>APP_NAME=Gestão de Perfis e Permissões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APP_ENV=production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SECRET_KEY=&lt;cofre&gt;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DATABASE_URL=&lt;cofre&gt;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# Desabilitados até a homologação correspondente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BIZAGI_ENABLED=false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N8N_ENABLED=false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APPROVAL_DEFAULT_REVIEWER=&lt;grupo-ou-usuario-real&gt;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APPROVAL_DEFAULT_FINAL_APPROVER=&lt;grupo-ou-usuario-real&gt;</w:t>
            </w:r>
          </w:p>
        </w:tc>
      </w:tr>
    </w:tbl>
    <w:p>
      <w:pPr>
        <w:spacing w:after="20"/>
      </w:pPr>
    </w:p>
    <w:p>
      <w:pPr>
        <w:pStyle w:val="Heading2"/>
      </w:pPr>
      <w:r>
        <w:t>7.1 Novas configurações recomendadas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OIDC_ISSUER, OIDC_CLIENT_ID, OIDC_CLIENT_SECRET e OIDC_REDIRECT_URI.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ALLOWED_HOSTS, TRUSTED_PROXY, SESSION_COOKIE_NAME e SESSION_MAX_AGE.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LOG_LEVEL, SENTRY/OTEL endpoint, correlation ID e política de mascaramento.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REDIS_URL, WORKER_CONCURRENCY, RETRY_LIMIT e RETRY_BACKOFF.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BIZAGI_CORRELATION_XPATH e política de idempotência.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8. Homologação funcional antes das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6463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Criar processo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Código único, dados persistidos e auditoria criada.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Editar matriz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Dependências aplicadas e alterações salvas.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Enviar para aprovação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Tarefa criada para o revisor e processo bloqueado conforme regra.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Aprovar etapa 1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Tarefa final criada para o aprovador.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Aprovar etapa 2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Status aprovado, versão bloqueada e evento registrado.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Devolver para ajustes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Justificativa obrigatória e processo reaberto.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Autorização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Usuário sem papel não acessa rota ou operação proibida.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Concorrência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Dois usuários não sobrescrevem alterações silenciosamente.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Backup/restore</w:t>
            </w:r>
          </w:p>
        </w:tc>
        <w:tc>
          <w:tcPr>
            <w:tcW w:type="dxa" w:w="64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Banco restaurado e aplicação funcional em ambiente isolado.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9. Integração com Bizagi — o que solicitar e como executar</w:t>
      </w:r>
    </w:p>
    <w:p>
      <w:r>
        <w:rPr>
          <w:rFonts w:ascii="Arial" w:hAnsi="Arial"/>
          <w:b/>
          <w:sz w:val="20"/>
        </w:rPr>
        <w:t xml:space="preserve">Modelo recomendado: </w:t>
      </w:r>
      <w:r>
        <w:t>a ferramenta é o sistema de registro e aprovação da especificação. Após a aprovação final, ela cria no Bizagi um caso de implementação/execução. Isso evita duplicar o mesmo fluxo de aprovação nas duas plataformas.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34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o_bizag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3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Informações mínimas para o conector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Solicitação</w:t>
            </w:r>
          </w:p>
        </w:tc>
        <w:tc>
          <w:tcPr>
            <w:tcW w:type="dxa" w:w="5896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Por que é necessária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URL do Work Portal de HML e PROD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Forma a URL de token e dos serviços OData.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Aplicação OAuth 2.0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Gera Client ID e Client Secret para autenticação servidor-servidor.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Grant type Client Credentials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É o fluxo implementado no conector atual.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Allowed Scope API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Permite uso completo dos serviços OData necessários.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Usuário técnico dedicado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O token opera no contexto desse usuário; deve ter menor privilégio.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Process GUID por ambiente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Identifica o processo no endpoint /processes(GUID)/start.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XPaths do formulário inicial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Definem onde gravar código, nome, status e payload.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Tipos, limites e obrigatoriedade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Evita falhas por tamanho, formato ou campo obrigatório.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Acesso de rede e certificado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Garante comunicação HTTPS entre os ambientes.</w:t>
            </w:r>
          </w:p>
        </w:tc>
      </w:tr>
      <w:t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Contato de suporte e tracing</w:t>
            </w:r>
          </w:p>
        </w:tc>
        <w:tc>
          <w:tcPr>
            <w:tcW w:type="dxa" w:w="589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Permite investigar 401, 403, 400, 500 e timeouts.</w:t>
            </w:r>
          </w:p>
        </w:tc>
      </w:tr>
    </w:tbl>
    <w:p>
      <w:pPr>
        <w:spacing w:after="20"/>
      </w:pPr>
    </w:p>
    <w:p>
      <w:pPr>
        <w:pStyle w:val="Heading2"/>
      </w:pPr>
      <w:r>
        <w:t>9.2 Campos que devem existir no formulário inicial do Bizagi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Variável do sistema</w:t>
            </w:r>
          </w:p>
        </w:tc>
        <w:tc>
          <w:tcPr>
            <w:tcW w:type="dxa" w:w="379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XPath esperado/configurável</w:t>
            </w:r>
          </w:p>
        </w:tc>
        <w:tc>
          <w:tcPr>
            <w:tcW w:type="dxa" w:w="311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Sugestão de tipo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Código do processo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PerfisPermissoes.CodigoProcesso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 curto; único/correlacionável.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Nome do processo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PerfisPermissoes.NomeProcesso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Status de aprovação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PerfisPermissoes.StatusAprovacao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 ou entidade paramétrica.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Payload integral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PerfisPermissoes.PayloadJson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 longo; validar limite.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Correlação externa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PerfisPermissoes.CorrelationId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 único, recomendado.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Versão aprovada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PerfisPermissoes.Versao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Inteiro, recomendado.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5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F2C500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Decisão de modelagem</w:t>
              <w:br/>
            </w:r>
            <w:r>
              <w:rPr>
                <w:rFonts w:ascii="Arial" w:hAnsi="Arial"/>
                <w:color w:val="111820"/>
                <w:sz w:val="18"/>
              </w:rPr>
              <w:t>A solução atual envia o objeto completo como JSON em um campo de texto. Para relatórios, regras e consultas dentro do Bizagi, pode ser melhor modelar perfis e permissões como coleção relacionada. Essa decisão deve ser tomada com a equipe Bizagi antes do go-live.</w:t>
            </w:r>
          </w:p>
        </w:tc>
      </w:tr>
    </w:tbl>
    <w:p>
      <w:pPr>
        <w:spacing w:after="20"/>
      </w:pPr>
    </w:p>
    <w:p>
      <w:pPr>
        <w:pStyle w:val="Heading2"/>
      </w:pPr>
      <w:r>
        <w:t>9.3 Passos da equipe Bizagi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1. </w:t>
      </w:r>
      <w:r>
        <w:rPr>
          <w:rFonts w:ascii="Arial" w:hAnsi="Arial"/>
          <w:sz w:val="18"/>
        </w:rPr>
        <w:t>Criar ou selecionar o processo que receberá as especificações aprovadas.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2. </w:t>
      </w:r>
      <w:r>
        <w:rPr>
          <w:rFonts w:ascii="Arial" w:hAnsi="Arial"/>
          <w:sz w:val="18"/>
        </w:rPr>
        <w:t>Adicionar ao formulário inicial os atributos/XPaths acordados e publicar em Homologação.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3. </w:t>
      </w:r>
      <w:r>
        <w:rPr>
          <w:rFonts w:ascii="Arial" w:hAnsi="Arial"/>
          <w:sz w:val="18"/>
        </w:rPr>
        <w:t>Criar usuário técnico dedicado com acesso apenas ao processo e dados necessários.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4. </w:t>
      </w:r>
      <w:r>
        <w:rPr>
          <w:rFonts w:ascii="Arial" w:hAnsi="Arial"/>
          <w:sz w:val="18"/>
        </w:rPr>
        <w:t>No Work Portal, acessar Admin → Security → OAuth2 Applications e registrar a aplicação externa.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5. </w:t>
      </w:r>
      <w:r>
        <w:rPr>
          <w:rFonts w:ascii="Arial" w:hAnsi="Arial"/>
          <w:sz w:val="18"/>
        </w:rPr>
        <w:t>Selecionar Client Credentials, escopo API e o usuário técnico dedicado.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6. </w:t>
      </w:r>
      <w:r>
        <w:rPr>
          <w:rFonts w:ascii="Arial" w:hAnsi="Arial"/>
          <w:sz w:val="18"/>
        </w:rPr>
        <w:t>Entregar Client ID e Client Secret por canal seguro, com validade e rotina de rotação.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7. </w:t>
      </w:r>
      <w:r>
        <w:rPr>
          <w:rFonts w:ascii="Arial" w:hAnsi="Arial"/>
          <w:sz w:val="18"/>
        </w:rPr>
        <w:t>Fornecer Process GUID retornado pela lista OData de processos e os XPaths exatos.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8. </w:t>
      </w:r>
      <w:r>
        <w:rPr>
          <w:rFonts w:ascii="Arial" w:hAnsi="Arial"/>
          <w:sz w:val="18"/>
        </w:rPr>
        <w:t>Habilitar traces de autenticação/API e disponibilizar contato para suporte de homologação.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9. </w:t>
      </w:r>
      <w:r>
        <w:rPr>
          <w:rFonts w:ascii="Arial" w:hAnsi="Arial"/>
          <w:sz w:val="18"/>
        </w:rPr>
        <w:t>Executar testes de token, listagem de processos e criação de caso.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10. </w:t>
      </w:r>
      <w:r>
        <w:rPr>
          <w:rFonts w:ascii="Arial" w:hAnsi="Arial"/>
          <w:sz w:val="18"/>
        </w:rPr>
        <w:t>Repetir a configuração em Produção; não reutilizar secrets de Homologação.</w:t>
      </w:r>
    </w:p>
    <w:p>
      <w:pPr>
        <w:pStyle w:val="Heading2"/>
      </w:pPr>
      <w:r>
        <w:t>9.4 Testes técnicos da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05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6293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Critério de aceite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Token OAuth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HTTP 200 e access_token recebido; credencial de HML.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Token inválido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HTTP 401; erro registrado sem expor secret.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Listar processos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Aplicação técnica vê somente o necessário e identifica o GUID correto.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Criar caso válido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Caso criado uma vez, número retornado e gravado no sistema.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XPath inválido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Erro tratável; job fica disponível para correção/reprocessamento.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Reenvio do mesmo evento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Não cria caso duplicado; usa correlação/idempotência.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Timeout Bizagi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Retry assíncrono e alerta operacional.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Permissão insuficiente</w:t>
            </w:r>
          </w:p>
        </w:tc>
        <w:tc>
          <w:tcPr>
            <w:tcW w:type="dxa" w:w="6293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HTTP 403, tracing disponível e usuário técnico ajustado sem virar administrador.</w:t>
            </w:r>
          </w:p>
        </w:tc>
      </w:tr>
    </w:tbl>
    <w:p>
      <w:pPr>
        <w:spacing w:after="20"/>
      </w:pPr>
    </w:p>
    <w:p>
      <w:pPr>
        <w:pStyle w:val="Heading2"/>
      </w:pPr>
      <w:r>
        <w:t>9.5 Solicitação pronta para a equipe Bizagi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5DADD"/>
              <w:left w:val="single" w:sz="4" w:color="D5DADD"/>
              <w:bottom w:val="single" w:sz="4" w:color="D5DADD"/>
              <w:right w:val="single" w:sz="4" w:color="D5DADD"/>
            </w:tcBorders>
          </w:tcPr>
          <w:p>
            <w:r>
              <w:rPr>
                <w:rFonts w:ascii="Consolas" w:hAnsi="Consolas"/>
                <w:color w:val="17232C"/>
                <w:sz w:val="16"/>
              </w:rPr>
              <w:t>Assunto: Preparação de integração — Sistema de Perfis e Permissões x Bizagi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Solicitamos a configuração do ambiente de Homologação para integração servidor-servidor via OAuth 2.0 e API OData.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Precisamos receber: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1. URL do Work Portal de HML e PROD;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2. aplicação OAuth 2.0 com Grant Type Client Credentials e Allowed Scope API;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3. usuário técnico dedicado, sem perfil administrador, com acesso mínimo ao processo;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4. Client ID e Client Secret por canal seguro, incluindo validade e procedimento de rotação;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5. Process GUID do processo em cada ambiente;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6. XPaths, tipos, limites e obrigatoriedade dos parâmetros do formulário inicial;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7. confirmação do campo de correlação/idempotência;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8. confirmação de allowlist, proxy, certificado e restrições de rede;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9. tracing de Authentication e Bizagi API habilitado em HML;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10. contato técnico para homologação e suporte.</w:t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</w:r>
            <w:r>
              <w:br/>
            </w:r>
            <w:r>
              <w:rPr>
                <w:rFonts w:ascii="Consolas" w:hAnsi="Consolas"/>
                <w:color w:val="17232C"/>
                <w:sz w:val="16"/>
              </w:rPr>
              <w:t>Fluxo proposto: após aprovação final na ferramenta, criar um caso de implementação no Bizagi e armazenar o número do caso retornado.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10. Integração com n8n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Usar o Webhook de produção, com workflow publicado; o URL de teste não deve ser configurado na aplicação.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Proteger o webhook por Header Auth ou mecanismo corporativo equivalente; armazenar o segredo no cofre.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Usar n8n para comunicação, lembretes, escalonamento de SLA e orquestração — não para substituir a regra de aprovação do sistema.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Configurar callback autenticado para devolver execução, ticket externo, caso Bizagi ou falha.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Definir retenção de execuções e mascaramento de dados sensíveis.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Para volume relevante, considerar PostgreSQL e queue mode/Redis conforme licença e arquitetura do n8n.</w:t>
      </w:r>
    </w:p>
    <w:p>
      <w:pPr>
        <w:pStyle w:val="Heading2"/>
      </w:pPr>
      <w:r>
        <w:t>10.1 Workflow recomendado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1. </w:t>
      </w:r>
      <w:r>
        <w:rPr>
          <w:rFonts w:ascii="Arial" w:hAnsi="Arial"/>
          <w:sz w:val="18"/>
        </w:rPr>
        <w:t>Webhook recebe approval.requested ou approval.approved.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2. </w:t>
      </w:r>
      <w:r>
        <w:rPr>
          <w:rFonts w:ascii="Arial" w:hAnsi="Arial"/>
          <w:sz w:val="18"/>
        </w:rPr>
        <w:t>Valida segredo, event, version e correlation_id.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3. </w:t>
      </w:r>
      <w:r>
        <w:rPr>
          <w:rFonts w:ascii="Arial" w:hAnsi="Arial"/>
          <w:sz w:val="18"/>
        </w:rPr>
        <w:t>Busca dados adicionais na API do sistema, se necessário.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4. </w:t>
      </w:r>
      <w:r>
        <w:rPr>
          <w:rFonts w:ascii="Arial" w:hAnsi="Arial"/>
          <w:sz w:val="18"/>
        </w:rPr>
        <w:t>Envia e-mail/Teams e cria lembrete de SLA.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5. </w:t>
      </w:r>
      <w:r>
        <w:rPr>
          <w:rFonts w:ascii="Arial" w:hAnsi="Arial"/>
          <w:sz w:val="18"/>
        </w:rPr>
        <w:t>Após approval.approved, chama Bizagi ou solicita que o worker da aplicação faça a chamada.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6. </w:t>
      </w:r>
      <w:r>
        <w:rPr>
          <w:rFonts w:ascii="Arial" w:hAnsi="Arial"/>
          <w:sz w:val="18"/>
        </w:rPr>
        <w:t>Envia resultado ao POST /api/n8n/callback.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7. </w:t>
      </w:r>
      <w:r>
        <w:rPr>
          <w:rFonts w:ascii="Arial" w:hAnsi="Arial"/>
          <w:sz w:val="18"/>
        </w:rPr>
        <w:t>Em falha, registra execução, alerta suporte e agenda retry.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11. Plano de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370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T-10 dias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Congelar escopo, concluir UAT e segurança; confirmar suporte e janela.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T-5 dias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Restaurar backup de ensaio, validar pipeline e rotação de secrets.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T-1 dia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Backup final, imagem aprovada, checklist de acessos e comunicação.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T0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Aplicar migrações, implantar imagem, habilitar SSO e executar smoke test.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T+1 hora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Validar criação, aprovação, n8n e Bizagi com caso controlado.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T+1 dia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Revisar logs, fila, desempenho e chamados; ajustar alertas.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T+7 dias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Encerrar hypercare e formalizar operação contínua.</w:t>
            </w:r>
          </w:p>
        </w:tc>
      </w:tr>
    </w:tbl>
    <w:p>
      <w:pPr>
        <w:spacing w:after="20"/>
      </w:pPr>
    </w:p>
    <w:p>
      <w:pPr>
        <w:pStyle w:val="Heading2"/>
      </w:pPr>
      <w:r>
        <w:t>11.1 Critérios de “go/no-go”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SSO e RBAC validados por Segurança.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Migrações e rollback testados.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Backup e restauração comprovados.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Nenhum secret no Git, imagem ou log.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Fluxo completo aprovado pelo dono do produto.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Bizagi e n8n homologados com credenciais exclusivas de HML.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Monitoramento, alertas e escala de suporte ativos.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Plano de contingência para indisponibilidade das integrações.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12. Operação, suporte e continuidade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030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Alerta sugerido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Disponibilidade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Falha em /health ou taxa de erro acima do limite.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Tempo de resposta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p95 acima da meta por janela contínua.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Fila de integração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Jobs pendentes/falhos acima do limite ou envelhecimento excessivo.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Bizagi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401/403, timeout, criação duplicada ou ausência de case_id.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n8n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Webhook falho, execução parada ou callback ausente.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Banco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Uso de disco, conexões, locks, réplica/backup e falha de restauração.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Segurança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Login anômalo, falhas repetidas, segredo expirando ou alteração de papel.</w:t>
            </w:r>
          </w:p>
        </w:tc>
      </w:tr>
    </w:tbl>
    <w:p>
      <w:pPr>
        <w:spacing w:after="20"/>
      </w:pPr>
    </w:p>
    <w:p>
      <w:pPr>
        <w:pStyle w:val="Heading2"/>
      </w:pPr>
      <w:r>
        <w:t>12.1 RPO e RTO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Definir RPO: perda máxima aceitável de dados, por exemplo 15 minutos ou 24 horas.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Definir RTO: tempo máximo para restaurar o serviço, por exemplo 2 ou 4 horas.</w:t>
      </w:r>
    </w:p>
    <w:p>
      <w:pPr>
        <w:pStyle w:val="ListBullet"/>
        <w:spacing w:after="40"/>
        <w:ind w:left="283" w:hanging="142"/>
      </w:pPr>
      <w:r>
        <w:rPr>
          <w:rFonts w:ascii="Arial" w:hAnsi="Arial"/>
          <w:sz w:val="18"/>
        </w:rPr>
        <w:t>A política de backup deve ser derivada desses objetivos e testada periodicamente.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13. Plano de rollback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1. </w:t>
      </w:r>
      <w:r>
        <w:rPr>
          <w:rFonts w:ascii="Arial" w:hAnsi="Arial"/>
          <w:sz w:val="18"/>
        </w:rPr>
        <w:t>Interromper novas alterações e desabilitar temporariamente os webhooks externos.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2. </w:t>
      </w:r>
      <w:r>
        <w:rPr>
          <w:rFonts w:ascii="Arial" w:hAnsi="Arial"/>
          <w:sz w:val="18"/>
        </w:rPr>
        <w:t>Reverter o serviço para a imagem anterior aprovada.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3. </w:t>
      </w:r>
      <w:r>
        <w:rPr>
          <w:rFonts w:ascii="Arial" w:hAnsi="Arial"/>
          <w:sz w:val="18"/>
        </w:rPr>
        <w:t>Executar downgrade de migração somente se testado; preferir migrações compatíveis para frente.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4. </w:t>
      </w:r>
      <w:r>
        <w:rPr>
          <w:rFonts w:ascii="Arial" w:hAnsi="Arial"/>
          <w:sz w:val="18"/>
        </w:rPr>
        <w:t>Restaurar backup apenas quando a integridade dos dados exigir.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5. </w:t>
      </w:r>
      <w:r>
        <w:rPr>
          <w:rFonts w:ascii="Arial" w:hAnsi="Arial"/>
          <w:sz w:val="18"/>
        </w:rPr>
        <w:t>Reprocessar jobs idempotentes pendentes após estabilização.</w:t>
      </w:r>
    </w:p>
    <w:p>
      <w:pPr>
        <w:spacing w:after="60"/>
        <w:ind w:left="369" w:hanging="369"/>
      </w:pPr>
      <w:r>
        <w:rPr>
          <w:rFonts w:ascii="Arial" w:hAnsi="Arial"/>
          <w:b/>
          <w:color w:val="22313B"/>
          <w:sz w:val="18"/>
        </w:rPr>
        <w:t xml:space="preserve">6. </w:t>
      </w:r>
      <w:r>
        <w:rPr>
          <w:rFonts w:ascii="Arial" w:hAnsi="Arial"/>
          <w:sz w:val="18"/>
        </w:rPr>
        <w:t>Registrar incidente, impacto, causa, ações e decisão de nova publicação.</w:t>
      </w:r>
    </w:p>
    <w:p>
      <w:pPr>
        <w:pStyle w:val="Heading1"/>
      </w:pPr>
      <w:r>
        <w:rPr>
          <w:rFonts w:ascii="Arial" w:hAnsi="Arial"/>
          <w:b/>
          <w:color w:val="111820"/>
          <w:sz w:val="36"/>
        </w:rPr>
        <w:t>14. Checklist final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030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Condição de aceite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Produto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Regras, perfis, aprovadores, SLA e critérios de aceite aprovados.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Identidade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SSO, MFA, logout, sessão e grupos testados.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Autorização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RBAC aplicado em todas as rotas e operações.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Dados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PostgreSQL, migrações, backup e restauração validados.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Infra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DNS, HTTPS, proxy, container registry e health checks ativos.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Segredos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Cofre, rotação e acesso mínimo configurados.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Bizagi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OAuth, usuário técnico, GUID, XPaths, tracing e idempotência homologados.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n8n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Webhook de produção, autenticação, callback, retries e monitoramento homologados.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Segurança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SAST, dependências, imagem, pentest e revisão formal concluídos.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Operação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Logs, métricas, alertas, runbook, suporte e rollback definidos.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7"/>
              </w:rPr>
              <w:t>Usuários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7"/>
              </w:rPr>
              <w:t>Treinamento, documentação e comunicação realizados.</w:t>
            </w:r>
          </w:p>
        </w:tc>
      </w:tr>
    </w:tbl>
    <w:p>
      <w:pPr>
        <w:spacing w:after="20"/>
      </w:pPr>
    </w:p>
    <w:p>
      <w:pPr>
        <w:pStyle w:val="Heading1"/>
        <w:spacing w:before="120" w:after="40"/>
      </w:pPr>
      <w:r>
        <w:t>Fontes oficiais consultadas</w:t>
      </w:r>
    </w:p>
    <w:p>
      <w:pPr>
        <w:pStyle w:val="ListBullet"/>
        <w:spacing w:after="0" w:line="216" w:lineRule="auto"/>
      </w:pPr>
      <w:hyperlink r:id="rId14">
        <w:r>
          <w:rPr>
            <w:color w:val="2F6F9F"/>
            <w:u w:val="single"/>
            <w:sz w:val="16"/>
            <w:szCs w:val="16"/>
          </w:rPr>
          <w:t>Bizagi — autenticação da API OData</w:t>
        </w:r>
      </w:hyperlink>
    </w:p>
    <w:p>
      <w:pPr>
        <w:pStyle w:val="ListBullet"/>
        <w:spacing w:after="0" w:line="216" w:lineRule="auto"/>
      </w:pPr>
      <w:hyperlink r:id="rId15">
        <w:r>
          <w:rPr>
            <w:color w:val="2F6F9F"/>
            <w:u w:val="single"/>
            <w:sz w:val="16"/>
            <w:szCs w:val="16"/>
          </w:rPr>
          <w:t>Bizagi — opções de aplicações OAuth 2.0</w:t>
        </w:r>
      </w:hyperlink>
    </w:p>
    <w:p>
      <w:pPr>
        <w:pStyle w:val="ListBullet"/>
        <w:spacing w:after="0" w:line="216" w:lineRule="auto"/>
      </w:pPr>
      <w:hyperlink r:id="rId16">
        <w:r>
          <w:rPr>
            <w:color w:val="2F6F9F"/>
            <w:u w:val="single"/>
            <w:sz w:val="16"/>
            <w:szCs w:val="16"/>
          </w:rPr>
          <w:t>Bizagi — início de processos pela API OData</w:t>
        </w:r>
      </w:hyperlink>
    </w:p>
    <w:p>
      <w:pPr>
        <w:pStyle w:val="ListBullet"/>
        <w:spacing w:after="0" w:line="216" w:lineRule="auto"/>
      </w:pPr>
      <w:hyperlink r:id="rId17">
        <w:r>
          <w:rPr>
            <w:color w:val="2F6F9F"/>
            <w:u w:val="single"/>
            <w:sz w:val="16"/>
            <w:szCs w:val="16"/>
          </w:rPr>
          <w:t>Bizagi — visão geral dos serviços OData</w:t>
        </w:r>
      </w:hyperlink>
    </w:p>
    <w:p>
      <w:pPr>
        <w:pStyle w:val="ListBullet"/>
        <w:spacing w:after="0" w:line="216" w:lineRule="auto"/>
      </w:pPr>
      <w:hyperlink r:id="rId18">
        <w:r>
          <w:rPr>
            <w:color w:val="2F6F9F"/>
            <w:u w:val="single"/>
            <w:sz w:val="16"/>
            <w:szCs w:val="16"/>
          </w:rPr>
          <w:t>Bizagi — uso do descritor OpenAPI/OData</w:t>
        </w:r>
      </w:hyperlink>
    </w:p>
    <w:p>
      <w:pPr>
        <w:pStyle w:val="ListBullet"/>
        <w:spacing w:after="0" w:line="216" w:lineRule="auto"/>
      </w:pPr>
      <w:hyperlink r:id="rId19">
        <w:r>
          <w:rPr>
            <w:color w:val="2F6F9F"/>
            <w:u w:val="single"/>
            <w:sz w:val="16"/>
            <w:szCs w:val="16"/>
          </w:rPr>
          <w:t>Bizagi — boas práticas de segurança</w:t>
        </w:r>
      </w:hyperlink>
    </w:p>
    <w:p>
      <w:pPr>
        <w:pStyle w:val="ListBullet"/>
        <w:spacing w:after="0" w:line="216" w:lineRule="auto"/>
      </w:pPr>
      <w:hyperlink r:id="rId20">
        <w:r>
          <w:rPr>
            <w:color w:val="2F6F9F"/>
            <w:u w:val="single"/>
            <w:sz w:val="16"/>
            <w:szCs w:val="16"/>
          </w:rPr>
          <w:t>FastAPI — conceitos de implantação</w:t>
        </w:r>
      </w:hyperlink>
    </w:p>
    <w:p>
      <w:pPr>
        <w:pStyle w:val="ListBullet"/>
        <w:spacing w:after="0" w:line="216" w:lineRule="auto"/>
      </w:pPr>
      <w:hyperlink r:id="rId21">
        <w:r>
          <w:rPr>
            <w:color w:val="2F6F9F"/>
            <w:u w:val="single"/>
            <w:sz w:val="16"/>
            <w:szCs w:val="16"/>
          </w:rPr>
          <w:t>FastAPI — implantação em contêineres</w:t>
        </w:r>
      </w:hyperlink>
    </w:p>
    <w:p>
      <w:pPr>
        <w:pStyle w:val="ListBullet"/>
        <w:spacing w:after="0" w:line="216" w:lineRule="auto"/>
      </w:pPr>
      <w:hyperlink r:id="rId22">
        <w:r>
          <w:rPr>
            <w:color w:val="2F6F9F"/>
            <w:u w:val="single"/>
            <w:sz w:val="16"/>
            <w:szCs w:val="16"/>
          </w:rPr>
          <w:t>Docker — Compose em produção</w:t>
        </w:r>
      </w:hyperlink>
    </w:p>
    <w:p>
      <w:pPr>
        <w:pStyle w:val="ListBullet"/>
        <w:spacing w:after="0" w:line="216" w:lineRule="auto"/>
      </w:pPr>
      <w:hyperlink r:id="rId23">
        <w:r>
          <w:rPr>
            <w:color w:val="2F6F9F"/>
            <w:u w:val="single"/>
            <w:sz w:val="16"/>
            <w:szCs w:val="16"/>
          </w:rPr>
          <w:t>n8n — Webhook node e URLs de produção</w:t>
        </w:r>
      </w:hyperlink>
    </w:p>
    <w:p>
      <w:pPr>
        <w:pStyle w:val="ListBullet"/>
        <w:spacing w:after="0" w:line="216" w:lineRule="auto"/>
      </w:pPr>
      <w:hyperlink r:id="rId24">
        <w:r>
          <w:rPr>
            <w:color w:val="2F6F9F"/>
            <w:u w:val="single"/>
            <w:sz w:val="16"/>
            <w:szCs w:val="16"/>
          </w:rPr>
          <w:t>n8n — segurança e credenciais de Webhook</w:t>
        </w:r>
      </w:hyperlink>
    </w:p>
    <w:p>
      <w:pPr>
        <w:pStyle w:val="ListBullet"/>
        <w:spacing w:after="0" w:line="216" w:lineRule="auto"/>
      </w:pPr>
      <w:hyperlink r:id="rId25">
        <w:r>
          <w:rPr>
            <w:color w:val="2F6F9F"/>
            <w:u w:val="single"/>
            <w:sz w:val="16"/>
            <w:szCs w:val="16"/>
          </w:rPr>
          <w:t>n8n — queue mode e escalabilidade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2"/>
      <w:gridCol w:w="3362"/>
      <w:gridCol w:w="3362"/>
    </w:tblGrid>
    <w:tr>
      <w:tc>
        <w:tcPr>
          <w:tcW w:type="dxa" w:w="3362"/>
          <w:tcBorders>
            <w:top w:val="single" w:sz="4" w:color="D9DDE0"/>
          </w:tcBorders>
        </w:tcPr>
        <w:p>
          <w:r>
            <w:rPr>
              <w:rFonts w:ascii="Arial" w:hAnsi="Arial"/>
              <w:color w:val="66737C"/>
              <w:sz w:val="16"/>
            </w:rPr>
            <w:t>CAEd · Documento de apoio</w:t>
          </w:r>
        </w:p>
      </w:tc>
      <w:tc>
        <w:tcPr>
          <w:tcW w:type="dxa" w:w="3362"/>
          <w:tcBorders>
            <w:top w:val="single" w:sz="4" w:color="D9DDE0"/>
          </w:tcBorders>
        </w:tcPr>
        <w:p>
          <w:pPr>
            <w:jc w:val="center"/>
          </w:pPr>
          <w:r>
            <w:rPr>
              <w:rFonts w:ascii="Arial" w:hAnsi="Arial"/>
              <w:color w:val="66737C"/>
              <w:sz w:val="16"/>
            </w:rPr>
            <w:t>Versão 1.6</w:t>
          </w:r>
        </w:p>
      </w:tc>
      <w:tc>
        <w:tcPr>
          <w:tcW w:type="dxa" w:w="3362"/>
          <w:tcBorders>
            <w:top w:val="single" w:sz="4" w:color="D9DDE0"/>
          </w:tcBorders>
        </w:tcPr>
        <w:p>
          <w:pPr>
            <w:jc w:val="right"/>
          </w:pPr>
          <w:r>
            <w:rPr>
              <w:rFonts w:ascii="Arial" w:hAnsi="Arial"/>
              <w:color w:val="66737C"/>
              <w:sz w:val="16"/>
            </w:rPr>
            <w:t xml:space="preserve">Página </w:t>
          </w:r>
          <w:r>
            <w:rPr>
              <w:rFonts w:ascii="Arial" w:hAnsi="Arial"/>
              <w:color w:val="66737C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835"/>
      <w:gridCol w:w="6803"/>
    </w:tblGrid>
    <w:tr>
      <w:tc>
        <w:tcPr>
          <w:tcW w:type="dxa" w:w="5043"/>
          <w:tcBorders>
            <w:bottom w:val="single" w:sz="8" w:color="F2C500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296000" cy="28973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e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8973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3"/>
          <w:tcBorders>
            <w:bottom w:val="single" w:sz="8" w:color="F2C500"/>
          </w:tcBorders>
        </w:tcPr>
        <w:p>
          <w:pPr>
            <w:jc w:val="right"/>
          </w:pPr>
          <w:r>
            <w:rPr>
              <w:rFonts w:ascii="Arial" w:hAnsi="Arial"/>
              <w:b/>
              <w:color w:val="66737C"/>
              <w:sz w:val="16"/>
            </w:rPr>
            <w:t>GESTÃO DE PERFIS E PERMISSÕES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31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231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help.bizagi.com/platform/en/api_odata_authentication.htm" TargetMode="External"/><Relationship Id="rId15" Type="http://schemas.openxmlformats.org/officeDocument/2006/relationships/hyperlink" Target="https://help.bizagi.com/platform/en/oauth_apps_options.htm" TargetMode="External"/><Relationship Id="rId16" Type="http://schemas.openxmlformats.org/officeDocument/2006/relationships/hyperlink" Target="https://help.bizagi.com/platform/en/api_odata_d_userprocesses.htm" TargetMode="External"/><Relationship Id="rId17" Type="http://schemas.openxmlformats.org/officeDocument/2006/relationships/hyperlink" Target="https://help.bizagi.com/platform/en/api_odata.htm" TargetMode="External"/><Relationship Id="rId18" Type="http://schemas.openxmlformats.org/officeDocument/2006/relationships/hyperlink" Target="https://help.bizagi.com/platform/en/using-odata-with-openapi.htm" TargetMode="External"/><Relationship Id="rId19" Type="http://schemas.openxmlformats.org/officeDocument/2006/relationships/hyperlink" Target="https://help.bizagi.com/platform/en/security_best_practices.htm" TargetMode="External"/><Relationship Id="rId20" Type="http://schemas.openxmlformats.org/officeDocument/2006/relationships/hyperlink" Target="https://fastapi.tiangolo.com/deployment/concepts/" TargetMode="External"/><Relationship Id="rId21" Type="http://schemas.openxmlformats.org/officeDocument/2006/relationships/hyperlink" Target="https://fastapi.tiangolo.com/deployment/docker/" TargetMode="External"/><Relationship Id="rId22" Type="http://schemas.openxmlformats.org/officeDocument/2006/relationships/hyperlink" Target="https://docs.docker.com/compose/how-tos/production/" TargetMode="External"/><Relationship Id="rId23" Type="http://schemas.openxmlformats.org/officeDocument/2006/relationships/hyperlink" Target="https://docs.n8n.io/integrations/builtin/core-nodes/n8n-nodes-base.webhook/" TargetMode="External"/><Relationship Id="rId24" Type="http://schemas.openxmlformats.org/officeDocument/2006/relationships/hyperlink" Target="https://docs.n8n.io/integrations/builtin/credentials/webhook/" TargetMode="External"/><Relationship Id="rId25" Type="http://schemas.openxmlformats.org/officeDocument/2006/relationships/hyperlink" Target="https://docs.n8n.io/hosting/scaling/queue-mod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