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Quick Data 3.23 — Melhorias e Recomendações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bfc96e2bab8c59bf50c3067890f547f287060a3"/>
    <w:p>
      <w:pPr>
        <w:pStyle w:val="Heading1"/>
      </w:pPr>
      <w:r>
        <w:t xml:space="preserve">Quick Data 3.23 — Melhorias e Recomendações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Quick Data 3.23</w:t>
      </w:r>
      <w:r>
        <w:t xml:space="preserve"> </w:t>
      </w:r>
      <w:r>
        <w:rPr>
          <w:b/>
          <w:bCs/>
        </w:rPr>
        <w:t xml:space="preserve">Base desta análise:</w:t>
      </w:r>
      <w:r>
        <w:t xml:space="preserve"> </w:t>
      </w:r>
      <w:hyperlink r:id="rId9">
        <w:r>
          <w:rPr>
            <w:rStyle w:val="Hyperlink"/>
          </w:rPr>
          <w:t xml:space="preserve">Documentação Técnica e Funcional do Quick Data 3.23</w:t>
        </w:r>
      </w:hyperlink>
      <w:r>
        <w:t xml:space="preserve"> </w:t>
      </w:r>
      <w:r>
        <w:t xml:space="preserve">— 192 procedimentos catalogados, 112 regras de negócio (RN-001 a RN-115) e</w:t>
      </w:r>
      <w:r>
        <w:t xml:space="preserve"> </w:t>
      </w:r>
      <w:r>
        <w:rPr>
          <w:b/>
          <w:bCs/>
        </w:rPr>
        <w:t xml:space="preserve">46 riscos classificados por severidade</w:t>
      </w:r>
      <w:r>
        <w:t xml:space="preserve"> </w:t>
      </w:r>
      <w:r>
        <w:t xml:space="preserve">(9 críticos, 17 altos, 14 médios, 6 baixos)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2026-08-14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Substitui a versão anterior deste documento (</w:t>
      </w:r>
      <w:r>
        <w:rPr>
          <w:rStyle w:val="VerbatimChar"/>
        </w:rPr>
        <w:t xml:space="preserve">02_melhorias_e_recomendacoes.md</w:t>
      </w:r>
      <w:r>
        <w:t xml:space="preserve">), que foi escrita antes do catálogo completo de procedimentos existir — os achados abaixo são todos rastreáveis a um ID de risco (D-xx/R-xx) e/ou regra de negócio (RN-xxx) específico da documentação técnica, não a impressões gerais.</w:t>
      </w:r>
    </w:p>
    <w:p>
      <w:r>
        <w:pict>
          <v:rect style="width:0;height:1.5pt" o:hralign="center" o:hrstd="t" o:hr="t"/>
        </w:pict>
      </w:r>
    </w:p>
    <w:bookmarkStart w:id="10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Dos 46 riscos catalogados,</w:t>
      </w:r>
      <w:r>
        <w:t xml:space="preserve"> </w:t>
      </w:r>
      <w:r>
        <w:rPr>
          <w:b/>
          <w:bCs/>
        </w:rPr>
        <w:t xml:space="preserve">9 são críticos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17 são altos</w:t>
      </w:r>
      <w:r>
        <w:t xml:space="preserve"> </w:t>
      </w:r>
      <w:r>
        <w:t xml:space="preserve">— 26 dos 46 (57%) exigem atenção antes ou durante qualquer trabalho de manutenção no sistema atual. A natureza desses riscos é overwhelmingly</w:t>
      </w:r>
      <w:r>
        <w:t xml:space="preserve"> </w:t>
      </w:r>
      <w:r>
        <w:rPr>
          <w:b/>
          <w:bCs/>
        </w:rPr>
        <w:t xml:space="preserve">estrutural</w:t>
      </w:r>
      <w:r>
        <w:t xml:space="preserve">: duplicação de lógica de negócio em implementações paralelas divergentes, ausência de tratamento de erro que causa parada abrupta do Excel, conhecimento de negócio mantido fora de qualquer automação, e um achado de segurança que deveria ter sido corrigido independentemente de qualquer decisão de reescrita.</w:t>
      </w:r>
    </w:p>
    <w:p>
      <w:pPr>
        <w:pStyle w:val="BodyText"/>
      </w:pPr>
      <w:r>
        <w:t xml:space="preserve">Isso confirma o diagnóstico da primeira versão deste documento:</w:t>
      </w:r>
      <w:r>
        <w:t xml:space="preserve"> </w:t>
      </w:r>
      <w:r>
        <w:rPr>
          <w:b/>
          <w:bCs/>
        </w:rPr>
        <w:t xml:space="preserve">os problemas não são pontuais, são de arquitetura</w:t>
      </w:r>
      <w:r>
        <w:t xml:space="preserve"> </w:t>
      </w:r>
      <w:r>
        <w:t xml:space="preserve">— a decisão de reconstruir o sistema como executável standalone continua sendo a resposta correta. O que muda nesta versão é a precisão: cada recomendação abaixo aponta para o procedimento, linha e regra de negócio exatos, não para uma categoria genérica de problema.</w:t>
      </w:r>
    </w:p>
    <w:p>
      <w:r>
        <w:pict>
          <v:rect style="width:0;height:1.5pt" o:hralign="center" o:hrstd="t" o:hr="t"/>
        </w:pict>
      </w:r>
    </w:p>
    <w:bookmarkEnd w:id="10"/>
    <w:bookmarkStart w:id="14" w:name="X1ee1794b27c394fb2add800c3835ec5488787cd"/>
    <w:p>
      <w:pPr>
        <w:pStyle w:val="Heading2"/>
      </w:pPr>
      <w:r>
        <w:t xml:space="preserve">2. Ação imediata — antes de qualquer outra decisão</w:t>
      </w:r>
    </w:p>
    <w:bookmarkStart w:id="11" w:name="X98c58ffe1c146877652f198361e3002c16b34aa"/>
    <w:p>
      <w:pPr>
        <w:pStyle w:val="Heading3"/>
      </w:pPr>
      <w:r>
        <w:t xml:space="preserve">🔴 Credenciais de banco de dados em texto plano (D-01 / R-05 — CRÍTICO, achado transversal)</w:t>
      </w:r>
    </w:p>
    <w:p>
      <w:pPr>
        <w:pStyle w:val="FirstParagraph"/>
      </w:pPr>
      <w:r>
        <w:t xml:space="preserve">Confirmado de forma idêntica por 2 das 4 frentes de análise (o achado aparece em</w:t>
      </w:r>
      <w:r>
        <w:t xml:space="preserve"> </w:t>
      </w:r>
      <w:r>
        <w:rPr>
          <w:rStyle w:val="VerbatimChar"/>
        </w:rPr>
        <w:t xml:space="preserve">Conexoes.bas</w:t>
      </w:r>
      <w:r>
        <w:t xml:space="preserve">, chamado por módulos de 3 dos 4 clusters — ETL, Core e Refresh): usuário e senha do SQL Server (</w:t>
      </w:r>
      <w:r>
        <w:rPr>
          <w:rStyle w:val="VerbatimChar"/>
        </w:rPr>
        <w:t xml:space="preserve">AdminBPAM</w:t>
      </w:r>
      <w:r>
        <w:t xml:space="preserve">/catálogo</w:t>
      </w:r>
      <w:r>
        <w:t xml:space="preserve"> </w:t>
      </w:r>
      <w:r>
        <w:rPr>
          <w:rStyle w:val="VerbatimChar"/>
        </w:rPr>
        <w:t xml:space="preserve">BPAM</w:t>
      </w:r>
      <w:r>
        <w:t xml:space="preserve">, fallback</w:t>
      </w:r>
      <w:r>
        <w:t xml:space="preserve"> </w:t>
      </w:r>
      <w:r>
        <w:rPr>
          <w:rStyle w:val="VerbatimChar"/>
        </w:rPr>
        <w:t xml:space="preserve">Report2BPAM</w:t>
      </w:r>
      <w:r>
        <w:t xml:space="preserve">.</w:t>
      </w:r>
      <w:r>
        <w:rPr>
          <w:rStyle w:val="VerbatimChar"/>
        </w:rPr>
        <w:t xml:space="preserve">URELATIG</w:t>
      </w:r>
      <w:r>
        <w:t xml:space="preserve">/catálogo</w:t>
      </w:r>
      <w:r>
        <w:t xml:space="preserve"> </w:t>
      </w:r>
      <w:r>
        <w:rPr>
          <w:rStyle w:val="VerbatimChar"/>
        </w:rPr>
        <w:t xml:space="preserve">InfoGER</w:t>
      </w:r>
      <w:r>
        <w:t xml:space="preserve">, com a</w:t>
      </w:r>
      <w:r>
        <w:t xml:space="preserve"> </w:t>
      </w:r>
      <w:r>
        <w:rPr>
          <w:b/>
          <w:bCs/>
        </w:rPr>
        <w:t xml:space="preserve">mesma senha reutilizada entre os dois pares de login</w:t>
      </w:r>
      <w:r>
        <w:t xml:space="preserve">) estão hardcoded em texto plano no VBA (</w:t>
      </w:r>
      <w:r>
        <w:rPr>
          <w:rStyle w:val="VerbatimChar"/>
        </w:rPr>
        <w:t xml:space="preserve">Conexoes.bas:26-27, 36-37</w:t>
      </w:r>
      <w:r>
        <w:t xml:space="preserve">). Qualquer pessoa com acesso ao arquivo</w:t>
      </w:r>
      <w:r>
        <w:t xml:space="preserve"> </w:t>
      </w:r>
      <w:r>
        <w:rPr>
          <w:rStyle w:val="VerbatimChar"/>
        </w:rPr>
        <w:t xml:space="preserve">.xlsb</w:t>
      </w:r>
      <w:r>
        <w:t xml:space="preserve"> </w:t>
      </w:r>
      <w:r>
        <w:t xml:space="preserve">tem acesso de leitura/escrita ao banco corporativo.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 de corrigir:</w:t>
      </w:r>
      <w:r>
        <w:t xml:space="preserve"> </w:t>
      </w:r>
      <w:r>
        <w:t xml:space="preserve">baixo — rotacionar a senha no SQL Server, revisar quem tem o arquivo.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Benefício:</w:t>
      </w:r>
      <w:r>
        <w:t xml:space="preserve"> </w:t>
      </w:r>
      <w:r>
        <w:t xml:space="preserve">altíssimo — elimina exposição de credencial institucional a um universo indeterminado de pessoas.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Ação:</w:t>
      </w:r>
      <w:r>
        <w:t xml:space="preserve"> </w:t>
      </w:r>
      <w:r>
        <w:t xml:space="preserve">rotacionar a senha agora, independentemente do cronograma de qualquer reescrita. Confirmar com o usuário se isso já foi feito desde a análise técnica.</w:t>
      </w:r>
    </w:p>
    <w:bookmarkEnd w:id="11"/>
    <w:bookmarkStart w:id="12" w:name="sql-não-parametrizado-d-02-crítico"/>
    <w:p>
      <w:pPr>
        <w:pStyle w:val="Heading3"/>
      </w:pPr>
      <w:r>
        <w:t xml:space="preserve">🟠 SQL não parametrizado (D-02 — CRÍTICO)</w:t>
      </w:r>
    </w:p>
    <w:p>
      <w:pPr>
        <w:pStyle w:val="FirstParagraph"/>
      </w:pPr>
      <w:r>
        <w:t xml:space="preserve">Todo o SQL dinâmico da extração Hubble é montado por concatenação direta de valores de planilha (</w:t>
      </w:r>
      <w:r>
        <w:rPr>
          <w:rStyle w:val="VerbatimChar"/>
        </w:rPr>
        <w:t xml:space="preserve">Extracao_SQL_Hubble.bas:399,485-498</w:t>
      </w:r>
      <w:r>
        <w:t xml:space="preserve">), sem uso de parâmetros ADODB. O risco prático de injeção maliciosa é menor (os valores vêm de configuração interna, não de input externo controlado), mas o risco de</w:t>
      </w:r>
      <w:r>
        <w:t xml:space="preserve"> </w:t>
      </w:r>
      <w:r>
        <w:rPr>
          <w:b/>
          <w:bCs/>
        </w:rPr>
        <w:t xml:space="preserve">quebra operacional real</w:t>
      </w:r>
      <w:r>
        <w:t xml:space="preserve"> </w:t>
      </w:r>
      <w:r>
        <w:t xml:space="preserve">é alto: qualquer apóstrofo em um nome de KPI/Empresa quebra a query.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Ação:</w:t>
      </w:r>
      <w:r>
        <w:t xml:space="preserve"> </w:t>
      </w:r>
      <w:r>
        <w:t xml:space="preserve">ao portar a extração Hubble para a reescrita, usar SQL parametrizado desde o primeiro dia (não é um</w:t>
      </w:r>
      <w:r>
        <w:t xml:space="preserve"> </w:t>
      </w:r>
      <w:r>
        <w:t xml:space="preserve">“nice to have”</w:t>
      </w:r>
      <w:r>
        <w:t xml:space="preserve"> </w:t>
      </w:r>
      <w:r>
        <w:t xml:space="preserve">— RN-018 mostra que a lógica de filtro já é complexa o suficiente para se beneficiar de parâmetros nomeados).</w:t>
      </w:r>
    </w:p>
    <w:bookmarkEnd w:id="12"/>
    <w:bookmarkStart w:id="13" w:name="X92b90f573d4e8234aa6e6be4515198eda4e3d93"/>
    <w:p>
      <w:pPr>
        <w:pStyle w:val="Heading3"/>
      </w:pPr>
      <w:r>
        <w:t xml:space="preserve">🟡</w:t>
      </w:r>
      <w:r>
        <w:t xml:space="preserve"> </w:t>
      </w:r>
      <w:r>
        <w:rPr>
          <w:rStyle w:val="VerbatimChar"/>
        </w:rPr>
        <w:t xml:space="preserve">Registrar_Sheet</w:t>
      </w:r>
      <w:r>
        <w:t xml:space="preserve"> </w:t>
      </w:r>
      <w:r>
        <w:t xml:space="preserve">— chamada a procedimento inexistente (UI-1 — CRÍTICO, requer confirmação urgente)</w:t>
      </w:r>
    </w:p>
    <w:p>
      <w:pPr>
        <w:pStyle w:val="FirstParagraph"/>
      </w:pPr>
      <w:r>
        <w:rPr>
          <w:rStyle w:val="VerbatimChar"/>
        </w:rPr>
        <w:t xml:space="preserve">Form_Exportacao.ListBox1_DblClick</w:t>
      </w:r>
      <w:r>
        <w:t xml:space="preserve"> </w:t>
      </w:r>
      <w:r>
        <w:t xml:space="preserve">(linha 469) chama um procedimento</w:t>
      </w:r>
      <w:r>
        <w:t xml:space="preserve"> </w:t>
      </w:r>
      <w:r>
        <w:rPr>
          <w:rStyle w:val="VerbatimChar"/>
        </w:rPr>
        <w:t xml:space="preserve">Registrar_Sheet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não existe em nenhum lugar do código extraído</w:t>
      </w:r>
      <w:r>
        <w:t xml:space="preserve">. Em VBA, isso normalmente impede a compilação do projeto inteiro assim que qualquer macro roda. Duas hipóteses, nenhuma confirmada: (a) o projeto de produção realmente tem esse erro de compilação latente, potencialmente quebrando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o VBA na primeira execução que tocar esse caminho; ou (b) o</w:t>
      </w:r>
      <w:r>
        <w:t xml:space="preserve"> </w:t>
      </w:r>
      <w:r>
        <w:rPr>
          <w:rStyle w:val="VerbatimChar"/>
        </w:rPr>
        <w:t xml:space="preserve">ListBox1</w:t>
      </w:r>
      <w:r>
        <w:t xml:space="preserve"> </w:t>
      </w:r>
      <w:r>
        <w:t xml:space="preserve">está órfão/inatingível na interface real e esse código nunca executa.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Ação imediata e barata:</w:t>
      </w:r>
      <w:r>
        <w:t xml:space="preserve"> </w:t>
      </w:r>
      <w:r>
        <w:t xml:space="preserve">abrir o arquivo original no VBE e rodar</w:t>
      </w:r>
      <w:r>
        <w:t xml:space="preserve"> </w:t>
      </w:r>
      <w:r>
        <w:rPr>
          <w:rStyle w:val="VerbatimChar"/>
        </w:rPr>
        <w:t xml:space="preserve">Debug → Compile VBAProject</w:t>
      </w:r>
      <w:r>
        <w:t xml:space="preserve">. Se der erro, é um problema ativo em produção que precisa ser corrigido (ou o</w:t>
      </w:r>
      <w:r>
        <w:t xml:space="preserve"> </w:t>
      </w:r>
      <w:r>
        <w:rPr>
          <w:rStyle w:val="VerbatimChar"/>
        </w:rPr>
        <w:t xml:space="preserve">ListBox1</w:t>
      </w:r>
      <w:r>
        <w:t xml:space="preserve"> </w:t>
      </w:r>
      <w:r>
        <w:t xml:space="preserve">removido) antes de qualquer outra manutenção no Form_Exportacao. Se compilar limpo, o achado vira apenas uma nota de código morto — mas isso só se sabe testando.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diagnóstico-consolidado-por-categoria"/>
    <w:p>
      <w:pPr>
        <w:pStyle w:val="Heading2"/>
      </w:pPr>
      <w:r>
        <w:t xml:space="preserve">3. Diagnóstico consolidado por categoria</w:t>
      </w:r>
    </w:p>
    <w:p>
      <w:pPr>
        <w:pStyle w:val="FirstParagraph"/>
      </w:pPr>
      <w:r>
        <w:t xml:space="preserve">Cada item cita o ID exato no catálogo de riscos (seção 18 do documento técnico) para rastreabilidade.</w:t>
      </w:r>
    </w:p>
    <w:bookmarkStart w:id="15" w:name="segurança"/>
    <w:p>
      <w:pPr>
        <w:pStyle w:val="Heading3"/>
      </w:pPr>
      <w:r>
        <w:t xml:space="preserve">3.1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SQL em texto plano, senha reutilizada entre 2 logins</w:t>
            </w:r>
          </w:p>
        </w:tc>
        <w:tc>
          <w:tcPr/>
          <w:p>
            <w:pPr>
              <w:pStyle w:val="Compact"/>
            </w:pPr>
            <w:r>
              <w:t xml:space="preserve">D-01 / R-05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construído por concatenação de string</w:t>
            </w:r>
          </w:p>
        </w:tc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Nenhum controle de quem pode editar as tabelas mestre (Sup_Linhas, De-Para) — qualquer usuário com o arquivo altera regra de negócio sem trilha de auditoria além do log de erros</w:t>
            </w:r>
          </w:p>
        </w:tc>
        <w:tc>
          <w:tcPr/>
          <w:p>
            <w:pPr>
              <w:pStyle w:val="Compact"/>
            </w:pPr>
            <w:r>
              <w:t xml:space="preserve">— (achado transversal, seção 17.9 do doc técnico)</w:t>
            </w:r>
          </w:p>
        </w:tc>
        <w:tc>
          <w:tcPr/>
          <w:p>
            <w:pPr>
              <w:pStyle w:val="Compact"/>
            </w:pPr>
            <w:r>
              <w:t xml:space="preserve">Alto (não classificado individualmente no catálogo, mas decorre de D-01 combinado à ausência de controle de acesso)</w:t>
            </w:r>
          </w:p>
        </w:tc>
      </w:tr>
    </w:tbl>
    <w:bookmarkEnd w:id="15"/>
    <w:bookmarkStart w:id="16" w:name="robustez-continuidade-operacional"/>
    <w:p>
      <w:pPr>
        <w:pStyle w:val="Heading3"/>
      </w:pPr>
      <w:r>
        <w:t xml:space="preserve">3.2 Robustez / continuidade operacional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abrupto do VBA em divergência estrutural (RGM/MOCKUP_RGM) — mata o Excel sem limpar estado</w:t>
            </w:r>
          </w:p>
        </w:tc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MsgBox</w:t>
            </w:r>
            <w:r>
              <w:t xml:space="preserve"> </w:t>
            </w:r>
            <w:r>
              <w:t xml:space="preserve">bloqueantes no meio do pipeline — impede execução desatendida/agendada</w:t>
            </w:r>
          </w:p>
        </w:tc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de staging SQL (Hubble) pode ficar</w:t>
            </w:r>
            <w:r>
              <w:t xml:space="preserve"> </w:t>
            </w:r>
            <w:r>
              <w:t xml:space="preserve">“presa”</w:t>
            </w:r>
            <w:r>
              <w:t xml:space="preserve"> </w:t>
            </w:r>
            <w:r>
              <w:t xml:space="preserve">se a execução falhar no meio</w:t>
            </w:r>
          </w:p>
        </w:tc>
        <w:tc>
          <w:tcPr/>
          <w:p>
            <w:pPr>
              <w:pStyle w:val="Compact"/>
            </w:pPr>
            <w:r>
              <w:t xml:space="preserve">D-05 (ETL)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De-Para de IFRS16 mantido 100% fora de qualquer automação rastreável</w:t>
            </w:r>
          </w:p>
        </w:tc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de ativação da validação de hierarquia do Main Results é incerto</w:t>
            </w:r>
          </w:p>
        </w:tc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Atualizar_Validacao_Linhas_Geral</w:t>
            </w:r>
            <w:r>
              <w:t xml:space="preserve"> </w:t>
            </w:r>
            <w:r>
              <w:t xml:space="preserve">está incompleta mas reporta sucesso ao usuário</w:t>
            </w:r>
          </w:p>
        </w:tc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limpeza prévia em 4 fontes (MOCKUP_RGM, RGM, Fixed_Revenues, Quick_Data) — reextrair duplica dados</w:t>
            </w:r>
          </w:p>
        </w:tc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Erros de De-Para descartados sem log individual (IFRS16, Ref Cruzada)</w:t>
            </w:r>
          </w:p>
        </w:tc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ordem de execução (Refresh de tabelas mestre → limpeza de Ajustes) não garantida por código</w:t>
            </w:r>
          </w:p>
        </w:tc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 VBA quebrada (GUID zerado) no projeto</w:t>
            </w:r>
          </w:p>
        </w:tc>
        <w:tc>
          <w:tcPr/>
          <w:p>
            <w:pPr>
              <w:pStyle w:val="Compact"/>
            </w:pPr>
            <w:r>
              <w:t xml:space="preserve">— (seção 17.2 do doc técnico)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</w:tbl>
    <w:bookmarkEnd w:id="16"/>
    <w:bookmarkStart w:id="17" w:name="X3527dbe017e6a6787c28dc5e8d9e1e2b3300b53"/>
    <w:p>
      <w:pPr>
        <w:pStyle w:val="Heading3"/>
      </w:pPr>
      <w:r>
        <w:t xml:space="preserve">3.3 Duplicação e divergência de regra de negócio</w:t>
      </w:r>
    </w:p>
    <w:p>
      <w:pPr>
        <w:pStyle w:val="FirstParagraph"/>
      </w:pPr>
      <w:r>
        <w:t xml:space="preserve">Esta é a categoria com o achado individualmente mais grave do sistema, pelo raciocínio de impacto financeiro direto: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Reclassificação de Empresa/IFRS/Proforma implementada 2x (</w:t>
            </w:r>
            <w:r>
              <w:rPr>
                <w:rStyle w:val="VerbatimChar"/>
              </w:rPr>
              <w:t xml:space="preserve">Auxiliar.bas</w:t>
            </w:r>
            <w:r>
              <w:t xml:space="preserve"> </w:t>
            </w:r>
            <w:r>
              <w:t xml:space="preserve">com busca dinâmica vs. </w:t>
            </w:r>
            <w:r>
              <w:rPr>
                <w:rStyle w:val="VerbatimChar"/>
              </w:rPr>
              <w:t xml:space="preserve">TK_Functions.bas</w:t>
            </w:r>
            <w:r>
              <w:t xml:space="preserve"> </w:t>
            </w:r>
            <w:r>
              <w:rPr>
                <w:rStyle w:val="VerbatimChar"/>
              </w:rPr>
              <w:t xml:space="preserve">_TK</w:t>
            </w:r>
            <w:r>
              <w:t xml:space="preserve"> </w:t>
            </w:r>
            <w:r>
              <w:t xml:space="preserve">com linha 6 fixa), com</w:t>
            </w:r>
            <w:r>
              <w:t xml:space="preserve"> </w:t>
            </w:r>
            <w:r>
              <w:rPr>
                <w:b/>
                <w:bCs/>
              </w:rPr>
              <w:t xml:space="preserve">3 fórmulas diferentes entre si</w:t>
            </w:r>
            <w:r>
              <w:t xml:space="preserve"> </w:t>
            </w:r>
            <w:r>
              <w:t xml:space="preserve">para calcular fim de range dentro da própria família</w:t>
            </w:r>
            <w:r>
              <w:t xml:space="preserve"> </w:t>
            </w:r>
            <w:r>
              <w:rPr>
                <w:rStyle w:val="VerbatimChar"/>
              </w:rPr>
              <w:t xml:space="preserve">_TK</w:t>
            </w:r>
          </w:p>
        </w:tc>
        <w:tc>
          <w:tcPr/>
          <w:p>
            <w:pPr>
              <w:pStyle w:val="Compact"/>
            </w:pPr>
            <w:r>
              <w:t xml:space="preserve">D-1 (Core)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Ordenar_Lista</w:t>
            </w:r>
            <w:r>
              <w:t xml:space="preserve"> </w:t>
            </w:r>
            <w:r>
              <w:t xml:space="preserve">existe em 2 escopos diferentes (Public em Auxiliar.bas, Private em BackupCodigo_MainResults.bas) — qual versão roda depende de quem chama</w:t>
            </w:r>
          </w:p>
        </w:tc>
        <w:tc>
          <w:tcPr/>
          <w:p>
            <w:pPr>
              <w:pStyle w:val="Compact"/>
            </w:pPr>
            <w:r>
              <w:t xml:space="preserve">D-4 (Core)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Processo_Extracao_Sheet_Base</w:t>
            </w:r>
            <w:r>
              <w:t xml:space="preserve"> </w:t>
            </w:r>
            <w:r>
              <w:t xml:space="preserve">triplicada (RGM/MOCKUP_RGM/Fixed_Revenues) com pequenas variações não documentadas</w:t>
            </w:r>
          </w:p>
        </w:tc>
        <w:tc>
          <w:tcPr/>
          <w:p>
            <w:pPr>
              <w:pStyle w:val="Compact"/>
            </w:pPr>
            <w:r>
              <w:t xml:space="preserve">D-07 (ETL)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</w:t>
            </w:r>
            <w:r>
              <w:t xml:space="preserve"> </w:t>
            </w:r>
            <w:r>
              <w:t xml:space="preserve">“N203073156+NT→382”</w:t>
            </w:r>
            <w:r>
              <w:t xml:space="preserve"> </w:t>
            </w:r>
            <w:r>
              <w:t xml:space="preserve">copiada 3x sem comentário do motivo de negócio</w:t>
            </w:r>
          </w:p>
        </w:tc>
        <w:tc>
          <w:tcPr/>
          <w:p>
            <w:pPr>
              <w:pStyle w:val="Compact"/>
            </w:pPr>
            <w:r>
              <w:t xml:space="preserve">D-6 (Core)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 (cascata Ref Cruzada, De-Para) expressa como string de fórmula Excel dentro do VBA, não como função testável</w:t>
            </w:r>
          </w:p>
        </w:tc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isso é o achado mais caro do sistema:</w:t>
      </w:r>
      <w:r>
        <w:t xml:space="preserve"> </w:t>
      </w:r>
      <w:r>
        <w:t xml:space="preserve">o risco não é</w:t>
      </w:r>
      <w:r>
        <w:t xml:space="preserve"> </w:t>
      </w:r>
      <w:r>
        <w:t xml:space="preserve">“o código é feio”</w:t>
      </w:r>
      <w:r>
        <w:t xml:space="preserve"> </w:t>
      </w:r>
      <w:r>
        <w:t xml:space="preserve">— é que</w:t>
      </w:r>
      <w:r>
        <w:t xml:space="preserve"> </w:t>
      </w:r>
      <w:r>
        <w:rPr>
          <w:b/>
          <w:bCs/>
        </w:rPr>
        <w:t xml:space="preserve">uma correção aplicada em uma cópia da regra de reclassificação Empresa/IFRS/Proforma não é automaticamente aplicada na outra</w:t>
      </w:r>
      <w:r>
        <w:t xml:space="preserve">, e os dois caminhos são acionados por gatilhos de negócio reais e diferentes (extração completa vs. fluxo pós-IFRS16). Isso significa que, hoje, é plausível que a classificação de uma mesma linha varie dependendo de qual botão gerou aquele dado — um problema de</w:t>
      </w:r>
      <w:r>
        <w:t xml:space="preserve"> </w:t>
      </w:r>
      <w:r>
        <w:rPr>
          <w:b/>
          <w:bCs/>
        </w:rPr>
        <w:t xml:space="preserve">qualidade do dado financeiro reportado</w:t>
      </w:r>
      <w:r>
        <w:t xml:space="preserve">, não só de código.</w:t>
      </w:r>
    </w:p>
    <w:bookmarkEnd w:id="17"/>
    <w:bookmarkStart w:id="18" w:name="performance"/>
    <w:p>
      <w:pPr>
        <w:pStyle w:val="Heading3"/>
      </w:pPr>
      <w:r>
        <w:t xml:space="preserve">3.4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EntireRow.Copy</w:t>
            </w:r>
            <w:r>
              <w:t xml:space="preserve">/</w:t>
            </w:r>
            <w:r>
              <w:rPr>
                <w:rStyle w:val="VerbatimChar"/>
              </w:rPr>
              <w:t xml:space="preserve">EntireRow.Delete</w:t>
            </w:r>
            <w:r>
              <w:t xml:space="preserve"> </w:t>
            </w:r>
            <w:r>
              <w:t xml:space="preserve">em laços sobre a Base inteira (O(n²))</w:t>
            </w:r>
          </w:p>
        </w:tc>
        <w:tc>
          <w:tcPr/>
          <w:p>
            <w:pPr>
              <w:pStyle w:val="Compact"/>
            </w:pPr>
            <w:r>
              <w:t xml:space="preserve">D-5 (Core)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Manipulação de</w:t>
            </w:r>
            <w:r>
              <w:t xml:space="preserve"> </w:t>
            </w:r>
            <w:r>
              <w:rPr>
                <w:rStyle w:val="VerbatimChar"/>
              </w:rPr>
              <w:t xml:space="preserve">SlicerCaches</w:t>
            </w:r>
            <w:r>
              <w:t xml:space="preserve"> </w:t>
            </w:r>
            <w:r>
              <w:t xml:space="preserve">item a item dentro do motor de rateio</w:t>
            </w:r>
          </w:p>
        </w:tc>
        <w:tc>
          <w:tcPr/>
          <w:p>
            <w:pPr>
              <w:pStyle w:val="Compact"/>
            </w:pPr>
            <w:r>
              <w:t xml:space="preserve">D-8 (Core)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INDIRECT()</w:t>
            </w:r>
            <w:r>
              <w:t xml:space="preserve"> </w:t>
            </w:r>
            <w:r>
              <w:t xml:space="preserve">volátil aplicado em massa</w:t>
            </w:r>
          </w:p>
        </w:tc>
        <w:tc>
          <w:tcPr/>
          <w:p>
            <w:pPr>
              <w:pStyle w:val="Compact"/>
            </w:pPr>
            <w:r>
              <w:t xml:space="preserve">D-11 (Core)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fixo</w:t>
            </w:r>
            <w:r>
              <w:t xml:space="preserve"> </w:t>
            </w:r>
            <w:r>
              <w:rPr>
                <w:rStyle w:val="VerbatimChar"/>
              </w:rPr>
              <w:t xml:space="preserve">Campos_Chaves(10000)</w:t>
            </w:r>
            <w:r>
              <w:t xml:space="preserve"> </w:t>
            </w:r>
            <w:r>
              <w:t xml:space="preserve">sem verificação de limite</w:t>
            </w:r>
          </w:p>
        </w:tc>
        <w:tc>
          <w:tcPr/>
          <w:p>
            <w:pPr>
              <w:pStyle w:val="Compact"/>
            </w:pPr>
            <w:r>
              <w:t xml:space="preserve">D-08 (ETL)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Posicionamento de coluna por deslocamento aritmético em vez de nome (frágil a reordenação, não só lento)</w:t>
            </w:r>
          </w:p>
        </w:tc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</w:tbl>
    <w:p>
      <w:pPr>
        <w:pStyle w:val="BodyText"/>
      </w:pPr>
      <w:r>
        <w:t xml:space="preserve">O padrão</w:t>
      </w:r>
      <w:r>
        <w:t xml:space="preserve"> </w:t>
      </w:r>
      <w:r>
        <w:t xml:space="preserve">“escrever fórmula em massa → calcular → copiar → colar valor”</w:t>
      </w:r>
      <w:r>
        <w:t xml:space="preserve">, repetido dezenas de vezes por execução completa, é a causa raiz mais provável da lentidão reportada pelos usuários — mas note que</w:t>
      </w:r>
      <w:r>
        <w:t xml:space="preserve"> </w:t>
      </w:r>
      <w:r>
        <w:rPr>
          <w:b/>
          <w:bCs/>
        </w:rPr>
        <w:t xml:space="preserve">nenhum item de performance está classificado como crítico</w:t>
      </w:r>
      <w:r>
        <w:t xml:space="preserve">: os riscos críticos do sistema são todos de corretude/segurança, não de velocidade. Isso é relevante para priorização (seção 4).</w:t>
      </w:r>
    </w:p>
    <w:bookmarkEnd w:id="18"/>
    <w:bookmarkStart w:id="19" w:name="manutenibilidade-código-morto"/>
    <w:p>
      <w:pPr>
        <w:pStyle w:val="Heading3"/>
      </w:pPr>
      <w:r>
        <w:t xml:space="preserve">3.5 Manutenibilidade / código morto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menos 13 procedimentos do cluster Core são código morto/órfão confirmado (</w:t>
            </w:r>
            <w:r>
              <w:rPr>
                <w:rStyle w:val="VerbatimChar"/>
              </w:rPr>
              <w:t xml:space="preserve">Form_Segmentos_OLD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Testeee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Teste</w:t>
            </w:r>
            <w:r>
              <w:t xml:space="preserve"> </w:t>
            </w:r>
            <w:r>
              <w:t xml:space="preserve">com chamada quebrada etc.)</w:t>
            </w:r>
          </w:p>
        </w:tc>
        <w:tc>
          <w:tcPr/>
          <w:p>
            <w:pPr>
              <w:pStyle w:val="Compact"/>
            </w:pPr>
            <w:r>
              <w:t xml:space="preserve">D-10 (Core)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módulos inteiros (</w:t>
            </w:r>
            <w:r>
              <w:rPr>
                <w:rStyle w:val="VerbatimChar"/>
              </w:rPr>
              <w:t xml:space="preserve">Module1</w:t>
            </w:r>
            <w:r>
              <w:t xml:space="preserve">–</w:t>
            </w:r>
            <w:r>
              <w:rPr>
                <w:rStyle w:val="VerbatimChar"/>
              </w:rPr>
              <w:t xml:space="preserve">Module10</w:t>
            </w:r>
            <w:r>
              <w:t xml:space="preserve">, exceto Module2) são resíduo de gravação de macro/depuração</w:t>
            </w:r>
          </w:p>
        </w:tc>
        <w:tc>
          <w:tcPr/>
          <w:p>
            <w:pPr>
              <w:pStyle w:val="Compact"/>
            </w:pPr>
            <w:r>
              <w:t xml:space="preserve">— (seção 9.3 do doc técnico)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Option Explicit</w:t>
            </w:r>
            <w:r>
              <w:t xml:space="preserve">/tipagem em todo o projeto</w:t>
            </w:r>
          </w:p>
        </w:tc>
        <w:tc>
          <w:tcPr/>
          <w:p>
            <w:pPr>
              <w:pStyle w:val="Compact"/>
            </w:pPr>
            <w:r>
              <w:t xml:space="preserve">D-12 (Core)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Blocos extensos de código comentado ao lado do código ativo</w:t>
            </w:r>
          </w:p>
        </w:tc>
        <w:tc>
          <w:tcPr/>
          <w:p>
            <w:pPr>
              <w:pStyle w:val="Compact"/>
            </w:pPr>
            <w:r>
              <w:t xml:space="preserve">D-14 (Core), D-10 parcial (Refresh)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 nomes definidos, 42 já sinalizados pelo próprio arquivo como quebrados (links de 1998-2014)</w:t>
            </w:r>
          </w:p>
        </w:tc>
        <w:tc>
          <w:tcPr/>
          <w:p>
            <w:pPr>
              <w:pStyle w:val="Compact"/>
            </w:pPr>
            <w:r>
              <w:t xml:space="preserve">— (seção 24.3 do doc técnico)</w:t>
            </w:r>
          </w:p>
        </w:tc>
        <w:tc>
          <w:tcPr/>
          <w:p>
            <w:pPr>
              <w:pStyle w:val="Compact"/>
            </w:pPr>
            <w:r>
              <w:t xml:space="preserve">Médio (causa clássica de lentidão/corrupção de</w:t>
            </w:r>
            <w:r>
              <w:t xml:space="preserve"> </w:t>
            </w:r>
            <w:r>
              <w:rPr>
                <w:rStyle w:val="VerbatimChar"/>
              </w:rPr>
              <w:t xml:space="preserve">.xlsb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Botões de UI (</w:t>
            </w:r>
            <w:r>
              <w:rPr>
                <w:rStyle w:val="VerbatimChar"/>
              </w:rPr>
              <w:t xml:space="preserve">Shape.OnAction</w:t>
            </w:r>
            <w:r>
              <w:t xml:space="preserve">) não rastreáveis por análise textual — pelo menos 12 procedimentos</w:t>
            </w:r>
            <w:r>
              <w:t xml:space="preserve"> </w:t>
            </w:r>
            <w:r>
              <w:t xml:space="preserve">“de botão”</w:t>
            </w:r>
            <w:r>
              <w:t xml:space="preserve"> </w:t>
            </w:r>
            <w:r>
              <w:t xml:space="preserve">sem chamador encontrado no código</w:t>
            </w:r>
          </w:p>
        </w:tc>
        <w:tc>
          <w:tcPr/>
          <w:p>
            <w:pPr>
              <w:pStyle w:val="Compact"/>
            </w:pPr>
            <w:r>
              <w:t xml:space="preserve">D-7 (Core)</w:t>
            </w:r>
          </w:p>
        </w:tc>
        <w:tc>
          <w:tcPr/>
          <w:p>
            <w:pPr>
              <w:pStyle w:val="Compact"/>
            </w:pPr>
            <w:r>
              <w:t xml:space="preserve">Alto (risco de mapear incorretamente UI→lógica na reescrita)</w:t>
            </w:r>
          </w:p>
        </w:tc>
      </w:tr>
    </w:tbl>
    <w:bookmarkEnd w:id="19"/>
    <w:bookmarkStart w:id="20" w:name="experiência-do-usuário-operação"/>
    <w:p>
      <w:pPr>
        <w:pStyle w:val="Heading3"/>
      </w:pPr>
      <w:r>
        <w:t xml:space="preserve">3.6 Experiência do usuário / operação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Processamento longo sem barra de progresso real nem cancelamento (Importação/Exportação)</w:t>
            </w:r>
          </w:p>
        </w:tc>
        <w:tc>
          <w:tcPr/>
          <w:p>
            <w:pPr>
              <w:pStyle w:val="Compact"/>
            </w:pPr>
            <w:r>
              <w:t xml:space="preserve">UI-3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acoplada a rótulos textuais fixos, sem validação de schema</w:t>
            </w:r>
          </w:p>
        </w:tc>
        <w:tc>
          <w:tcPr/>
          <w:p>
            <w:pPr>
              <w:pStyle w:val="Compact"/>
            </w:pPr>
            <w:r>
              <w:t xml:space="preserve">UI-4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Sobrescrita silenciosa de arquivo exportado (</w:t>
            </w: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sem aviso), risco real se 2 exportações caírem no mesmo minuto</w:t>
            </w:r>
          </w:p>
        </w:tc>
        <w:tc>
          <w:tcPr/>
          <w:p>
            <w:pPr>
              <w:pStyle w:val="Compact"/>
            </w:pPr>
            <w:r>
              <w:t xml:space="preserve">UI-2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Inconsistência clique-simples vs. duplo-clique entre Form_Importacao e Form_Exportacao</w:t>
            </w:r>
          </w:p>
        </w:tc>
        <w:tc>
          <w:tcPr/>
          <w:p>
            <w:pPr>
              <w:pStyle w:val="Compact"/>
            </w:pPr>
            <w:r>
              <w:t xml:space="preserve">UI-5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 silencioso de listas de validação acima de 747 itens</w:t>
            </w:r>
          </w:p>
        </w:tc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de seleção de arquivo sem restrição de tipo (</w:t>
            </w:r>
            <w:r>
              <w:rPr>
                <w:rStyle w:val="VerbatimChar"/>
              </w:rPr>
              <w:t xml:space="preserve">*.*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D-12 (ETL)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avaliação-de-melhorias-vale-a-pena"/>
    <w:p>
      <w:pPr>
        <w:pStyle w:val="Heading2"/>
      </w:pPr>
      <w:r>
        <w:t xml:space="preserve">4. Avaliação de melhorias — vale a pena?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Iniciativa</w:t>
            </w:r>
          </w:p>
        </w:tc>
        <w:tc>
          <w:tcPr/>
          <w:p>
            <w:pPr>
              <w:pStyle w:val="Compact"/>
            </w:pPr>
            <w:r>
              <w:t xml:space="preserve">Risco(s) endereçado(s)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Benefício</w:t>
            </w:r>
          </w:p>
        </w:tc>
        <w:tc>
          <w:tcPr/>
          <w:p>
            <w:pPr>
              <w:pStyle w:val="Compact"/>
            </w:pPr>
            <w:r>
              <w:t xml:space="preserve">Vale a pena?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Rotacionar credenciais SQL, sair do padrão hardcoded</w:t>
            </w:r>
          </w:p>
        </w:tc>
        <w:tc>
          <w:tcPr/>
          <w:p>
            <w:pPr>
              <w:pStyle w:val="Compact"/>
            </w:pPr>
            <w:r>
              <w:t xml:space="preserve">D-01/R-05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Altíssimo</w:t>
            </w:r>
          </w:p>
        </w:tc>
        <w:tc>
          <w:tcPr/>
          <w:p>
            <w:pPr>
              <w:pStyle w:val="Compact"/>
            </w:pPr>
            <w:r>
              <w:t xml:space="preserve">✅ Já, fora do cronograma da reescrita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Testar compilação do VBAProject e resolver</w:t>
            </w:r>
            <w:r>
              <w:t xml:space="preserve"> </w:t>
            </w:r>
            <w:r>
              <w:rPr>
                <w:rStyle w:val="VerbatimChar"/>
              </w:rPr>
              <w:t xml:space="preserve">Registrar_Sheet</w:t>
            </w:r>
          </w:p>
        </w:tc>
        <w:tc>
          <w:tcPr/>
          <w:p>
            <w:pPr>
              <w:pStyle w:val="Compact"/>
            </w:pPr>
            <w:r>
              <w:t xml:space="preserve">UI-1</w:t>
            </w:r>
          </w:p>
        </w:tc>
        <w:tc>
          <w:tcPr/>
          <w:p>
            <w:pPr>
              <w:pStyle w:val="Compact"/>
            </w:pPr>
            <w:r>
              <w:t xml:space="preserve">Baixo (1 clique no VBE)</w:t>
            </w:r>
          </w:p>
        </w:tc>
        <w:tc>
          <w:tcPr/>
          <w:p>
            <w:pPr>
              <w:pStyle w:val="Compact"/>
            </w:pPr>
            <w:r>
              <w:t xml:space="preserve">Alto (evita presumir estabilidade que pode não existir)</w:t>
            </w:r>
          </w:p>
        </w:tc>
        <w:tc>
          <w:tcPr/>
          <w:p>
            <w:pPr>
              <w:pStyle w:val="Compact"/>
            </w:pPr>
            <w:r>
              <w:t xml:space="preserve">✅ Já — é praticamente gratuito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Reescrita completa como executável Python (decisão já tomada)</w:t>
            </w:r>
          </w:p>
        </w:tc>
        <w:tc>
          <w:tcPr/>
          <w:p>
            <w:pPr>
              <w:pStyle w:val="Compact"/>
            </w:pPr>
            <w:r>
              <w:t xml:space="preserve">Resolve estruturalmente D-1/D-3/D-4/D-5/D-7/D-8/D-11/D-12 (Core), D-03/D-04/D-07/D-08 (ETL), R-03/R-06 (Refresh) e toda a seção 3.6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 — é a única forma de eliminar a</w:t>
            </w:r>
            <w:r>
              <w:t xml:space="preserve"> </w:t>
            </w:r>
            <w:r>
              <w:rPr>
                <w:i/>
                <w:iCs/>
              </w:rPr>
              <w:t xml:space="preserve">causa</w:t>
            </w:r>
            <w:r>
              <w:t xml:space="preserve">, não só o sintoma, da maioria dos 46 riscos</w:t>
            </w:r>
          </w:p>
        </w:tc>
        <w:tc>
          <w:tcPr/>
          <w:p>
            <w:pPr>
              <w:pStyle w:val="Compact"/>
            </w:pPr>
            <w:r>
              <w:t xml:space="preserve">✅ Confirmado pelo catálogo: 26 dos 46 riscos são estruturais, não corrigíveis com patch pontual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Consolidar as 2 famílias de reclassificação (</w:t>
            </w:r>
            <w:r>
              <w:rPr>
                <w:rStyle w:val="VerbatimChar"/>
              </w:rPr>
              <w:t xml:space="preserve">Auxiliar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_TK</w:t>
            </w:r>
            <w:r>
              <w:t xml:space="preserve">) numa única implementação</w:t>
            </w:r>
          </w:p>
        </w:tc>
        <w:tc>
          <w:tcPr/>
          <w:p>
            <w:pPr>
              <w:pStyle w:val="Compact"/>
            </w:pPr>
            <w:r>
              <w:t xml:space="preserve">D-1 (crítico)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Crítico — elimina o risco de classificação financeira divergente</w:t>
            </w:r>
          </w:p>
        </w:tc>
        <w:tc>
          <w:tcPr/>
          <w:p>
            <w:pPr>
              <w:pStyle w:val="Compact"/>
            </w:pPr>
            <w:r>
              <w:t xml:space="preserve">✅ Prioridade #1 técnica dentro da reescrita — não fazer isso é herdar o pior bug do legado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Decidir explicitamente sobre</w:t>
            </w:r>
            <w:r>
              <w:t xml:space="preserve"> </w:t>
            </w:r>
            <w:r>
              <w:rPr>
                <w:rStyle w:val="VerbatimChar"/>
              </w:rPr>
              <w:t xml:space="preserve">Registrar_Sheet</w:t>
            </w:r>
            <w:r>
              <w:t xml:space="preserve">/ListBox1 antes de portar Form_Exportacao</w:t>
            </w:r>
          </w:p>
        </w:tc>
        <w:tc>
          <w:tcPr/>
          <w:p>
            <w:pPr>
              <w:pStyle w:val="Compact"/>
            </w:pPr>
            <w:r>
              <w:t xml:space="preserve">UI-1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✅ Pré-requisito de UI-3/UI-4 abaixo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Externalizar regras hardcoded (De-Para de CC, exceção 5G/METIS_CZ, código 382) para tabela de configuração</w:t>
            </w:r>
          </w:p>
        </w:tc>
        <w:tc>
          <w:tcPr/>
          <w:p>
            <w:pPr>
              <w:pStyle w:val="Compact"/>
            </w:pPr>
            <w:r>
              <w:t xml:space="preserve">D-6, RN-039, RN-066 e outras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Alto — auditável e editável sem programador</w:t>
            </w:r>
          </w:p>
        </w:tc>
        <w:tc>
          <w:tcPr/>
          <w:p>
            <w:pPr>
              <w:pStyle w:val="Compact"/>
            </w:pPr>
            <w:r>
              <w:t xml:space="preserve">✅ Princípio de design da versão 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Progresso real + cancelamento + validação de schema na importação/exportação</w:t>
            </w:r>
          </w:p>
        </w:tc>
        <w:tc>
          <w:tcPr/>
          <w:p>
            <w:pPr>
              <w:pStyle w:val="Compact"/>
            </w:pPr>
            <w:r>
              <w:t xml:space="preserve">UI-2, UI-3, UI-4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Alto (adoção, confiança, menos risco de arquivo corrompido por</w:t>
            </w:r>
            <w:r>
              <w:t xml:space="preserve"> </w:t>
            </w:r>
            <w:r>
              <w:t xml:space="preserve">“Ctrl+Alt+Del”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Natural ao reescrever a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Validar com o negócio: De-Para IFRS16 (R-01), status do BackupCodigo_MainResults (R-02),</w:t>
            </w:r>
            <w:r>
              <w:t xml:space="preserve"> </w:t>
            </w:r>
            <w:r>
              <w:rPr>
                <w:rStyle w:val="VerbatimChar"/>
              </w:rPr>
              <w:t xml:space="preserve">Atualizar_Validacao_Linhas_Geral</w:t>
            </w:r>
            <w:r>
              <w:t xml:space="preserve"> </w:t>
            </w:r>
            <w:r>
              <w:t xml:space="preserve">(R-08), macros de Module2 ainda usadas manualmente (UI-8)</w:t>
            </w:r>
          </w:p>
        </w:tc>
        <w:tc>
          <w:tcPr/>
          <w:p>
            <w:pPr>
              <w:pStyle w:val="Compact"/>
            </w:pPr>
            <w:r>
              <w:t xml:space="preserve">R-01, R-02, R-08</w:t>
            </w:r>
          </w:p>
        </w:tc>
        <w:tc>
          <w:tcPr/>
          <w:p>
            <w:pPr>
              <w:pStyle w:val="Compact"/>
            </w:pPr>
            <w:r>
              <w:t xml:space="preserve">Baixo (é uma rodada de entrevistas)</w:t>
            </w:r>
          </w:p>
        </w:tc>
        <w:tc>
          <w:tcPr/>
          <w:p>
            <w:pPr>
              <w:pStyle w:val="Compact"/>
            </w:pPr>
            <w:r>
              <w:t xml:space="preserve">Crítico — sem isso a reescrita corre risco de reproduzir números errados (IFRS16) ou reimplementar telas que ninguém usa</w:t>
            </w:r>
          </w:p>
        </w:tc>
        <w:tc>
          <w:tcPr/>
          <w:p>
            <w:pPr>
              <w:pStyle w:val="Compact"/>
            </w:pPr>
            <w:r>
              <w:t xml:space="preserve">✅ Fazer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portar a lógica correspondente, não depois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Log estruturado de erro de De-Para (linha + chave + motivo) em vez de contador agregado</w:t>
            </w:r>
          </w:p>
        </w:tc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Baixo-médio</w:t>
            </w:r>
          </w:p>
        </w:tc>
        <w:tc>
          <w:tcPr/>
          <w:p>
            <w:pPr>
              <w:pStyle w:val="Compact"/>
            </w:pPr>
            <w:r>
              <w:t xml:space="preserve">Alto (auditoria/reconciliação)</w:t>
            </w:r>
          </w:p>
        </w:tc>
        <w:tc>
          <w:tcPr/>
          <w:p>
            <w:pPr>
              <w:pStyle w:val="Compact"/>
            </w:pPr>
            <w:r>
              <w:t xml:space="preserve">✅ Baixo custo incremental dentro da reescrita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Limpar os 42 nomes definidos quebrados e os 9 módulos de macro gravada residual</w:t>
            </w:r>
          </w:p>
        </w:tc>
        <w:tc>
          <w:tcPr/>
          <w:p>
            <w:pPr>
              <w:pStyle w:val="Compact"/>
            </w:pPr>
            <w:r>
              <w:t xml:space="preserve">seção 3.5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Baixo-médio, só temporário</w:t>
            </w:r>
          </w:p>
        </w:tc>
        <w:tc>
          <w:tcPr/>
          <w:p>
            <w:pPr>
              <w:pStyle w:val="Compact"/>
            </w:pPr>
            <w:r>
              <w:t xml:space="preserve">⚠️ Só vale a pena se o Excel legado precisar sobreviver mais alguns meses em paralelo — descartável se a migração for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Corrigir isoladamente os padrões O(n²)/Slicers/INDIRECT no VBA atual</w:t>
            </w:r>
          </w:p>
        </w:tc>
        <w:tc>
          <w:tcPr/>
          <w:p>
            <w:pPr>
              <w:pStyle w:val="Compact"/>
            </w:pPr>
            <w:r>
              <w:t xml:space="preserve">seção 3.4</w:t>
            </w:r>
          </w:p>
        </w:tc>
        <w:tc>
          <w:tcPr/>
          <w:p>
            <w:pPr>
              <w:pStyle w:val="Compact"/>
            </w:pPr>
            <w:r>
              <w:t xml:space="preserve">Médio-alto</w:t>
            </w:r>
          </w:p>
        </w:tc>
        <w:tc>
          <w:tcPr/>
          <w:p>
            <w:pPr>
              <w:pStyle w:val="Compact"/>
            </w:pPr>
            <w:r>
              <w:t xml:space="preserve">Médio, ganho temporário</w:t>
            </w:r>
          </w:p>
        </w:tc>
        <w:tc>
          <w:tcPr/>
          <w:p>
            <w:pPr>
              <w:pStyle w:val="Compact"/>
            </w:pPr>
            <w:r>
              <w:t xml:space="preserve">❌ Não vale a pena isoladamente — o ganho desaparece quando o Python substituir 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Ativar</w:t>
            </w:r>
            <w:r>
              <w:t xml:space="preserve"> </w:t>
            </w:r>
            <w:r>
              <w:rPr>
                <w:rStyle w:val="VerbatimChar"/>
              </w:rPr>
              <w:t xml:space="preserve">Option Explicit</w:t>
            </w:r>
            <w:r>
              <w:t xml:space="preserve"> </w:t>
            </w:r>
            <w:r>
              <w:t xml:space="preserve">retroativamente no legado</w:t>
            </w:r>
          </w:p>
        </w:tc>
        <w:tc>
          <w:tcPr/>
          <w:p>
            <w:pPr>
              <w:pStyle w:val="Compact"/>
            </w:pPr>
            <w:r>
              <w:t xml:space="preserve">D-12 (Core)</w:t>
            </w:r>
          </w:p>
        </w:tc>
        <w:tc>
          <w:tcPr/>
          <w:p>
            <w:pPr>
              <w:pStyle w:val="Compact"/>
            </w:pPr>
            <w:r>
              <w:t xml:space="preserve">Alto (exige testar cada módulo)</w:t>
            </w:r>
          </w:p>
        </w:tc>
        <w:tc>
          <w:tcPr/>
          <w:p>
            <w:pPr>
              <w:pStyle w:val="Compact"/>
            </w:pPr>
            <w:r>
              <w:t xml:space="preserve">Baixo no legado</w:t>
            </w:r>
          </w:p>
        </w:tc>
        <w:tc>
          <w:tcPr/>
          <w:p>
            <w:pPr>
              <w:pStyle w:val="Compact"/>
            </w:pPr>
            <w:r>
              <w:t xml:space="preserve">❌ Não fazer no legado sem suíte de testes; aplicar tipagem forte (type hints) só na reescrita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nenhum item novo muda a conclusão da versão anterior deste documento — a reescrita continua sendo a decisão certa. O que o catálogo completo adiciona é uma</w:t>
      </w:r>
      <w:r>
        <w:t xml:space="preserve"> </w:t>
      </w:r>
      <w:r>
        <w:rPr>
          <w:b/>
          <w:bCs/>
        </w:rPr>
        <w:t xml:space="preserve">ordem de prioridade dentro da reescrita</w:t>
      </w:r>
      <w:r>
        <w:t xml:space="preserve">: o item 4 (consolidar as famílias de reclassificação duplicadas) é, pela primeira vez, identificável como o risco técnico individualmente mais caro do sistema — mais do que a lentidão, que é o sintoma mais visível mas não o mais perigoso.</w:t>
      </w:r>
    </w:p>
    <w:p>
      <w:r>
        <w:pict>
          <v:rect style="width:0;height:1.5pt" o:hralign="center" o:hrstd="t" o:hr="t"/>
        </w:pict>
      </w:r>
    </w:p>
    <w:bookmarkEnd w:id="22"/>
    <w:bookmarkStart w:id="23" w:name="X1ba18d5fd9f0c758672fe4e5470e5f81d5c7c10"/>
    <w:p>
      <w:pPr>
        <w:pStyle w:val="Heading2"/>
      </w:pPr>
      <w:r>
        <w:t xml:space="preserve">5. Pontos que exigem validação de negócio antes de portar qualquer lógica</w:t>
      </w:r>
    </w:p>
    <w:p>
      <w:pPr>
        <w:pStyle w:val="FirstParagraph"/>
      </w:pPr>
      <w:r>
        <w:t xml:space="preserve">Lista mínima — cada um está detalhado com a evidência completa na seção 23 do documento técnico: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De-Para de IFRS16</w:t>
      </w:r>
      <w:r>
        <w:t xml:space="preserve"> </w:t>
      </w:r>
      <w:r>
        <w:t xml:space="preserve">(colunas 71/73/15/22 de Sup_Linhas) — quem mantém, com que fonte de verdade, com que frequência.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BackupCodigo_MainResults</w:t>
      </w:r>
      <w:r>
        <w:t xml:space="preserve"> </w:t>
      </w:r>
      <w:r>
        <w:t xml:space="preserve">— a validação automática de hierarquia de dropdowns está realmente ativa hoje?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Atualizar_Validacao_Linhas_Geral</w:t>
      </w:r>
      <w:r>
        <w:t xml:space="preserve"> </w:t>
      </w:r>
      <w:r>
        <w:t xml:space="preserve">— o botão correspondente ainda está exposto na UI? Alguém presume que ele funciona?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Macros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Module2.bas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inverter_valores*</w:t>
      </w:r>
      <w:r>
        <w:t xml:space="preserve">) e demais utilitários órfãos — algum analista ainda os aciona manualmente via Alt+F8?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Form_Tratamento_Opcoes</w:t>
      </w:r>
      <w:r>
        <w:t xml:space="preserve"> </w:t>
      </w:r>
      <w:r>
        <w:t xml:space="preserve">— tela usada por alguém hoje, ou pode ser descartada na reescrita?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Divergência de versão</w:t>
      </w:r>
      <w:r>
        <w:t xml:space="preserve"> </w:t>
      </w:r>
      <w:r>
        <w:t xml:space="preserve">(arquivo</w:t>
      </w:r>
      <w:r>
        <w:t xml:space="preserve"> </w:t>
      </w:r>
      <w:r>
        <w:t xml:space="preserve">“3.23”</w:t>
      </w:r>
      <w:r>
        <w:t xml:space="preserve"> </w:t>
      </w:r>
      <w:r>
        <w:t xml:space="preserve">vs. gate de código</w:t>
      </w:r>
      <w:r>
        <w:t xml:space="preserve"> </w:t>
      </w:r>
      <w:r>
        <w:t xml:space="preserve">“3.0”</w:t>
      </w:r>
      <w:r>
        <w:t xml:space="preserve">) — os dois números significam coisas diferentes ou o gate está desatualizado?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Ausência de limpeza prévia em 4 fontes</w:t>
      </w:r>
      <w:r>
        <w:t xml:space="preserve"> </w:t>
      </w:r>
      <w:r>
        <w:t xml:space="preserve">(D-06) — existe um processo manual de deduplicação hoje que compensa isso?</w:t>
      </w:r>
    </w:p>
    <w:p>
      <w:r>
        <w:pict>
          <v:rect style="width:0;height:1.5pt" o:hralign="center" o:hrstd="t" o:hr="t"/>
        </w:pict>
      </w:r>
    </w:p>
    <w:bookmarkEnd w:id="23"/>
    <w:bookmarkStart w:id="25" w:name="roadmap-sugerido-atualizado"/>
    <w:p>
      <w:pPr>
        <w:pStyle w:val="Heading2"/>
      </w:pPr>
      <w:r>
        <w:t xml:space="preserve">6. Roadmap sugerido (atualizado)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0 — Mitigação imediata (dias, não semanas):</w:t>
      </w:r>
    </w:p>
    <w:p>
      <w:pPr>
        <w:pStyle w:val="Compact"/>
        <w:numPr>
          <w:ilvl w:val="1"/>
          <w:numId w:val="1006"/>
        </w:numPr>
      </w:pPr>
      <w:r>
        <w:t xml:space="preserve">Rotacionar credenciais SQL (seção 2).</w:t>
      </w:r>
    </w:p>
    <w:p>
      <w:pPr>
        <w:pStyle w:val="Compact"/>
        <w:numPr>
          <w:ilvl w:val="1"/>
          <w:numId w:val="1006"/>
        </w:numPr>
      </w:pPr>
      <w:r>
        <w:t xml:space="preserve">Testar</w:t>
      </w:r>
      <w:r>
        <w:t xml:space="preserve"> </w:t>
      </w:r>
      <w:r>
        <w:rPr>
          <w:rStyle w:val="VerbatimChar"/>
        </w:rPr>
        <w:t xml:space="preserve">Debug → Compile VBAProject</w:t>
      </w:r>
      <w:r>
        <w:t xml:space="preserve"> </w:t>
      </w:r>
      <w:r>
        <w:t xml:space="preserve">no arquivo original e resolver o achado</w:t>
      </w:r>
      <w:r>
        <w:t xml:space="preserve"> </w:t>
      </w:r>
      <w:r>
        <w:rPr>
          <w:rStyle w:val="VerbatimChar"/>
        </w:rPr>
        <w:t xml:space="preserve">Registrar_Sheet</w:t>
      </w:r>
      <w:r>
        <w:t xml:space="preserve"> </w:t>
      </w:r>
      <w:r>
        <w:t xml:space="preserve">se confirmado.</w:t>
      </w:r>
    </w:p>
    <w:p>
      <w:pPr>
        <w:pStyle w:val="Compact"/>
        <w:numPr>
          <w:ilvl w:val="1"/>
          <w:numId w:val="1006"/>
        </w:numPr>
      </w:pPr>
      <w:r>
        <w:t xml:space="preserve">Rodar a rodada de entrevistas da seção 5 — idealmente com as mesmas pessoas que ainda sustentam o sistema hoje, antes que esse conhecimento se perca.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1 — Motor de dados, na ordem de risco, não na ordem de módulo:</w:t>
      </w:r>
    </w:p>
    <w:p>
      <w:pPr>
        <w:pStyle w:val="Compact"/>
        <w:numPr>
          <w:ilvl w:val="1"/>
          <w:numId w:val="1007"/>
        </w:numPr>
      </w:pPr>
      <w:r>
        <w:t xml:space="preserve">Portar primeiro a lógica de reclassificação Empresa/IFRS/Proforma como</w:t>
      </w:r>
      <w:r>
        <w:t xml:space="preserve"> </w:t>
      </w:r>
      <w:r>
        <w:rPr>
          <w:b/>
          <w:bCs/>
        </w:rPr>
        <w:t xml:space="preserve">uma única implementação testável</w:t>
      </w:r>
      <w:r>
        <w:t xml:space="preserve">, resolvendo D-1 na origem em vez de portar as duas versões.</w:t>
      </w:r>
    </w:p>
    <w:p>
      <w:pPr>
        <w:pStyle w:val="Compact"/>
        <w:numPr>
          <w:ilvl w:val="1"/>
          <w:numId w:val="1007"/>
        </w:numPr>
      </w:pPr>
      <w:r>
        <w:t xml:space="preserve">Em seguida, o motor de rateio (</w:t>
      </w:r>
      <w:r>
        <w:rPr>
          <w:rStyle w:val="VerbatimChar"/>
        </w:rPr>
        <w:t xml:space="preserve">Form_Segmentos</w:t>
      </w:r>
      <w:r>
        <w:t xml:space="preserve">) e o tratamento IFRS16 — as duas peças de maior risco financeiro direto se saírem erradas.</w:t>
      </w:r>
    </w:p>
    <w:p>
      <w:pPr>
        <w:pStyle w:val="Compact"/>
        <w:numPr>
          <w:ilvl w:val="1"/>
          <w:numId w:val="1007"/>
        </w:numPr>
      </w:pPr>
      <w:r>
        <w:t xml:space="preserve">Validar cada regra portada linha a linha contra a saída do Excel atual, usando os RN-xxx do catálogo como checklist de aceite (112 regras = 112 casos de teste candidatos, não é necessário testar todos com o mesmo rigor, mas as marcadas Crítico/Alto na seção 18 do documento técnico devem ter teste de paridade explícito).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2 — Interface:</w:t>
      </w:r>
    </w:p>
    <w:p>
      <w:pPr>
        <w:pStyle w:val="Compact"/>
        <w:numPr>
          <w:ilvl w:val="1"/>
          <w:numId w:val="1008"/>
        </w:numPr>
      </w:pPr>
      <w:r>
        <w:t xml:space="preserve">Construir a UI (ver</w:t>
      </w:r>
      <w:r>
        <w:t xml:space="preserve"> </w:t>
      </w:r>
      <w:hyperlink r:id="rId24">
        <w:r>
          <w:rPr>
            <w:rStyle w:val="Hyperlink"/>
          </w:rPr>
          <w:t xml:space="preserve">prompt de design</w:t>
        </w:r>
      </w:hyperlink>
      <w:r>
        <w:t xml:space="preserve">) já com progresso real, cancelamento e validação de schema desde o primeiro protótipo — são baratos de incluir agora e caros de adicionar depois.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3 — Transição:</w:t>
      </w:r>
    </w:p>
    <w:p>
      <w:pPr>
        <w:pStyle w:val="Compact"/>
        <w:numPr>
          <w:ilvl w:val="1"/>
          <w:numId w:val="1009"/>
        </w:numPr>
      </w:pPr>
      <w:r>
        <w:t xml:space="preserve">Rodar em paralelo por 1-2 fechamentos, comparando resultado linha a linha.</w:t>
      </w:r>
    </w:p>
    <w:p>
      <w:pPr>
        <w:pStyle w:val="Compact"/>
        <w:numPr>
          <w:ilvl w:val="1"/>
          <w:numId w:val="1009"/>
        </w:numPr>
      </w:pPr>
      <w:r>
        <w:t xml:space="preserve">Só então os itens de limpeza do Excel legado (nomes definidos, módulos de macro gravada) deixam de ser relevantes.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03_prompt_claude_design.md" TargetMode="External" /><Relationship Type="http://schemas.openxmlformats.org/officeDocument/2006/relationships/hyperlink" Id="rId9" Target="Documentacao_Tecnica_Funcional_QuickDat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3_prompt_claude_design.md" TargetMode="External" /><Relationship Type="http://schemas.openxmlformats.org/officeDocument/2006/relationships/hyperlink" Id="rId9" Target="Documentacao_Tecnica_Funcional_QuickData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Data 3.23 — Melhorias e Recomendações</dc:title>
  <dc:creator/>
  <cp:keywords/>
  <dcterms:created xsi:type="dcterms:W3CDTF">2026-08-15T05:40:43Z</dcterms:created>
  <dcterms:modified xsi:type="dcterms:W3CDTF">2026-08-15T05:40:43Z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