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D92C857" w14:textId="77777777" w:rsidR="00DB59D9" w:rsidRDefault="00000000">
      <w:pPr>
        <w:spacing w:line="276" w:lineRule="auto"/>
        <w:jc w:val="center"/>
        <w:rPr>
          <w:rFonts w:asciiTheme="minorHAnsi" w:hAnsiTheme="minorHAnsi" w:cstheme="minorHAnsi"/>
        </w:rPr>
      </w:pPr>
      <w:r>
        <w:rPr>
          <w:noProof/>
        </w:rPr>
        <w:drawing>
          <wp:inline distT="0" distB="0" distL="0" distR="0" wp14:anchorId="735DE1A1" wp14:editId="73A5DC6A">
            <wp:extent cx="720090" cy="720090"/>
            <wp:effectExtent l="0" t="0" r="0" b="0"/>
            <wp:docPr id="1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090" cy="72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C720C" w14:textId="77777777" w:rsidR="00DB59D9" w:rsidRDefault="00000000">
      <w:pPr>
        <w:spacing w:line="276" w:lineRule="auto"/>
        <w:jc w:val="center"/>
        <w:rPr>
          <w:rFonts w:asciiTheme="minorHAnsi" w:hAnsiTheme="minorHAnsi" w:cstheme="minorHAnsi"/>
          <w:b/>
          <w:bCs/>
          <w:color w:val="000000"/>
        </w:rPr>
      </w:pPr>
      <w:r>
        <w:rPr>
          <w:rFonts w:asciiTheme="minorHAnsi" w:hAnsiTheme="minorHAnsi" w:cstheme="minorHAnsi"/>
          <w:b/>
          <w:bCs/>
          <w:color w:val="000000"/>
        </w:rPr>
        <w:t>MARINHA DO BRASIL</w:t>
      </w:r>
    </w:p>
    <w:p w14:paraId="154FF1EE" w14:textId="77777777" w:rsidR="00DB59D9" w:rsidRDefault="00000000">
      <w:pPr>
        <w:spacing w:line="276" w:lineRule="auto"/>
        <w:jc w:val="center"/>
        <w:rPr>
          <w:rFonts w:asciiTheme="minorHAnsi" w:hAnsiTheme="minorHAnsi" w:cstheme="minorHAnsi"/>
          <w:b/>
          <w:bCs/>
          <w:color w:val="000000"/>
        </w:rPr>
      </w:pPr>
      <w:r>
        <w:rPr>
          <w:rFonts w:asciiTheme="minorHAnsi" w:hAnsiTheme="minorHAnsi" w:cstheme="minorHAnsi"/>
          <w:b/>
          <w:bCs/>
          <w:color w:val="000000"/>
        </w:rPr>
        <w:t>ATA DE REGISTRO DE PREÇOS</w:t>
      </w:r>
    </w:p>
    <w:p w14:paraId="3700FA73" w14:textId="77777777" w:rsidR="00DB59D9" w:rsidRDefault="00000000">
      <w:pPr>
        <w:widowControl w:val="0"/>
        <w:spacing w:line="276" w:lineRule="auto"/>
        <w:ind w:right="-30"/>
        <w:jc w:val="center"/>
        <w:rPr>
          <w:rFonts w:asciiTheme="minorHAnsi" w:hAnsiTheme="minorHAnsi" w:cstheme="minorHAnsi"/>
          <w:bCs/>
          <w:color w:val="000000"/>
        </w:rPr>
      </w:pPr>
      <w:r>
        <w:rPr>
          <w:rFonts w:asciiTheme="minorHAnsi" w:hAnsiTheme="minorHAnsi" w:cstheme="minorHAnsi"/>
          <w:bCs/>
          <w:color w:val="000000"/>
        </w:rPr>
        <w:t xml:space="preserve">Pregão Eletrônico nº 90019/2024</w:t>
        <w:br/>
        <w:t xml:space="preserve">791181/2024-055/00</w:t>
      </w:r>
    </w:p>
    <w:p w14:paraId="3B94D017" w14:textId="77777777" w:rsidR="00DB59D9" w:rsidRDefault="00DB59D9">
      <w:pPr>
        <w:widowControl w:val="0"/>
        <w:spacing w:line="276" w:lineRule="auto"/>
        <w:ind w:right="-30"/>
        <w:jc w:val="center"/>
        <w:rPr>
          <w:rFonts w:asciiTheme="minorHAnsi" w:hAnsiTheme="minorHAnsi" w:cstheme="minorHAnsi"/>
        </w:rPr>
      </w:pPr>
    </w:p>
    <w:p w14:paraId="1CF2285A" w14:textId="6C4578D1" w:rsidR="00754758" w:rsidRDefault="00000000">
      <w:pPr>
        <w:widowControl w:val="0"/>
        <w:tabs>
          <w:tab w:val="center" w:pos="4779"/>
          <w:tab w:val="right" w:pos="9198"/>
        </w:tabs>
        <w:spacing w:before="120" w:after="120" w:line="276" w:lineRule="auto"/>
        <w:ind w:right="-28"/>
        <w:jc w:val="both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Cabeçalho para teste</w:t>
      </w:r>
    </w:p>
    <w:p w14:paraId="5FDD03F1" w14:textId="77777777" w:rsidR="00251C60" w:rsidRPr="00251C60" w:rsidRDefault="00251C60">
      <w:pPr>
        <w:widowControl w:val="0"/>
        <w:tabs>
          <w:tab w:val="center" w:pos="4779"/>
          <w:tab w:val="right" w:pos="9198"/>
        </w:tabs>
        <w:spacing w:before="120" w:after="120" w:line="276" w:lineRule="auto"/>
        <w:ind w:right="-28"/>
        <w:jc w:val="both"/>
        <w:rPr>
          <w:rFonts w:ascii="Calibri" w:hAnsi="Calibri" w:cs="Calibri"/>
          <w:color w:val="000000"/>
          <w:u w:val="single"/>
        </w:rPr>
      </w:pPr>
    </w:p>
    <w:p w14:paraId="18A8D205" w14:textId="77777777" w:rsidR="00DB59D9" w:rsidRDefault="00000000">
      <w:pPr>
        <w:widowControl w:val="0"/>
        <w:tabs>
          <w:tab w:val="center" w:pos="4779"/>
          <w:tab w:val="right" w:pos="9198"/>
        </w:tabs>
        <w:spacing w:before="120" w:after="120" w:line="276" w:lineRule="auto"/>
        <w:ind w:right="-28"/>
        <w:jc w:val="both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 xml:space="preserve">EMPRESA REGISTRADA: </w:t>
      </w:r>
    </w:p>
    <w:p w14:paraId="1F8DCED4" w14:textId="77777777" w:rsidR="00DB59D9" w:rsidRDefault="00000000">
      <w:pPr>
        <w:spacing w:line="276" w:lineRule="auto"/>
        <w:rPr>
          <w:rFonts w:asciiTheme="minorHAnsi" w:hAnsiTheme="minorHAnsi" w:cstheme="minorHAnsi"/>
          <w:lang w:eastAsia="en-US"/>
        </w:rPr>
      </w:pPr>
      <w:r>
        <w:rPr>
          <w:rFonts w:ascii="Calibri" w:hAnsi="Calibri"/>
          <w:b/>
          <w:sz w:val="24"/>
        </w:rPr>
        <w:t xml:space="preserve">Razão Social: </w:t>
      </w:r>
      <w:r>
        <w:rPr>
          <w:rFonts w:ascii="Calibri" w:hAnsi="Calibri"/>
          <w:b w:val="0"/>
          <w:sz w:val="24"/>
        </w:rPr>
        <w:t>3T COMERCIO DE MATERIAIS E SERVICOS LTDA;</w:t>
        <w:br/>
      </w:r>
      <w:r>
        <w:rPr>
          <w:rFonts w:ascii="Calibri" w:hAnsi="Calibri"/>
          <w:b/>
          <w:sz w:val="24"/>
        </w:rPr>
        <w:t xml:space="preserve">Nome Fantasia: </w:t>
      </w:r>
      <w:r>
        <w:rPr>
          <w:rFonts w:ascii="Calibri" w:hAnsi="Calibri"/>
          <w:b w:val="0"/>
          <w:sz w:val="24"/>
        </w:rPr>
        <w:t>None;</w:t>
        <w:br/>
      </w:r>
      <w:r>
        <w:rPr>
          <w:rFonts w:ascii="Calibri" w:hAnsi="Calibri"/>
          <w:b/>
          <w:sz w:val="24"/>
        </w:rPr>
        <w:t xml:space="preserve">CNPJ: </w:t>
      </w:r>
      <w:r>
        <w:rPr>
          <w:rFonts w:ascii="Calibri" w:hAnsi="Calibri"/>
          <w:b w:val="0"/>
          <w:sz w:val="24"/>
        </w:rPr>
        <w:t>38.227.436/0001-90;</w:t>
        <w:br/>
      </w:r>
      <w:r>
        <w:rPr>
          <w:rFonts w:ascii="Calibri" w:hAnsi="Calibri"/>
          <w:b/>
          <w:sz w:val="24"/>
        </w:rPr>
        <w:t xml:space="preserve">Endereço: </w:t>
      </w:r>
      <w:r>
        <w:rPr>
          <w:rFonts w:ascii="Calibri" w:hAnsi="Calibri"/>
          <w:b w:val="0"/>
          <w:sz w:val="24"/>
        </w:rPr>
        <w:t>None;</w:t>
        <w:br/>
      </w:r>
      <w:r>
        <w:rPr>
          <w:rFonts w:ascii="Calibri" w:hAnsi="Calibri"/>
          <w:b/>
          <w:sz w:val="24"/>
        </w:rPr>
        <w:t xml:space="preserve">Município-UF: </w:t>
      </w:r>
      <w:r>
        <w:rPr>
          <w:rFonts w:ascii="Calibri" w:hAnsi="Calibri"/>
          <w:b w:val="0"/>
          <w:sz w:val="24"/>
        </w:rPr>
        <w:t>None - None;</w:t>
        <w:br/>
      </w:r>
      <w:r>
        <w:rPr>
          <w:rFonts w:ascii="Calibri" w:hAnsi="Calibri"/>
          <w:b/>
          <w:sz w:val="24"/>
        </w:rPr>
        <w:t xml:space="preserve">CEP: </w:t>
      </w:r>
      <w:r>
        <w:rPr>
          <w:rFonts w:ascii="Calibri" w:hAnsi="Calibri"/>
          <w:b w:val="0"/>
          <w:sz w:val="24"/>
        </w:rPr>
        <w:t>None;</w:t>
        <w:br/>
      </w:r>
      <w:r>
        <w:rPr>
          <w:rFonts w:ascii="Calibri" w:hAnsi="Calibri"/>
          <w:b/>
          <w:sz w:val="24"/>
        </w:rPr>
        <w:t xml:space="preserve">Telefone: </w:t>
      </w:r>
      <w:r>
        <w:rPr>
          <w:rFonts w:ascii="Calibri" w:hAnsi="Calibri"/>
          <w:b w:val="0"/>
          <w:sz w:val="24"/>
        </w:rPr>
        <w:t>None; e</w:t>
        <w:br/>
      </w:r>
      <w:r>
        <w:rPr>
          <w:rFonts w:ascii="Calibri" w:hAnsi="Calibri"/>
          <w:b/>
          <w:sz w:val="24"/>
        </w:rPr>
        <w:t xml:space="preserve">E-mail: </w:t>
      </w:r>
      <w:r>
        <w:rPr>
          <w:rFonts w:ascii="Calibri" w:hAnsi="Calibri"/>
          <w:b w:val="0"/>
          <w:sz w:val="24"/>
        </w:rPr>
        <w:t>None.</w:t>
        <w:br/>
      </w:r>
      <w:r>
        <w:rPr>
          <w:rFonts w:ascii="Calibri" w:hAnsi="Calibri"/>
          <w:b w:val="0"/>
          <w:sz w:val="24"/>
        </w:rPr>
        <w:t xml:space="preserve">Representada neste ato, por seu representante legal, o(a) Sr(a) </w:t>
      </w:r>
      <w:r>
        <w:rPr>
          <w:rFonts w:ascii="Calibri" w:hAnsi="Calibri"/>
          <w:b w:val="0"/>
          <w:sz w:val="24"/>
        </w:rPr>
        <w:t>None.</w:t>
        <w:br/>
      </w:r>
    </w:p>
    <w:p w14:paraId="1E4459A8" w14:textId="77777777" w:rsidR="00DB59D9" w:rsidRDefault="00000000">
      <w:pPr>
        <w:rPr>
          <w:rFonts w:asciiTheme="minorHAnsi" w:hAnsiTheme="minorHAnsi" w:cstheme="minorHAnsi"/>
          <w:lang w:eastAsia="en-US"/>
        </w:rPr>
      </w:pPr>
      <w:r>
        <w:br w:type="page"/>
      </w:r>
    </w:p>
    <w:p w14:paraId="3F30562D" w14:textId="77777777" w:rsidR="00DB59D9" w:rsidRDefault="00000000">
      <w:pPr>
        <w:pStyle w:val="Nivel01"/>
        <w:numPr>
          <w:ilvl w:val="0"/>
          <w:numId w:val="1"/>
        </w:numPr>
        <w:spacing w:before="0"/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lastRenderedPageBreak/>
        <w:t>DO OBJETO</w:t>
      </w:r>
    </w:p>
    <w:p w14:paraId="3C66D583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 xml:space="preserve">A presente Ata tem por objeto o registro de preços para a </w:t>
      </w:r>
      <w:r>
        <w:rPr>
          <w:rFonts w:asciiTheme="minorHAnsi" w:hAnsiTheme="minorHAnsi" w:cstheme="minorHAnsi"/>
          <w:color w:val="000000"/>
          <w:sz w:val="24"/>
          <w:szCs w:val="24"/>
        </w:rPr>
        <w:t xml:space="preserve">eventual Registro de preços para aquisição de material de limpeza. Observar a descrição dos itens no Termo de Referência para formulação das propostas., especificado no item 1 do Termo de Referência, anexo do edital do pregão eletrônico nº 90019/</w:t>
      </w:r>
      <w:proofErr w:type="gramEnd"/>
      <w:r>
        <w:rPr>
          <w:rFonts w:asciiTheme="minorHAnsi" w:hAnsiTheme="minorHAnsi" w:cstheme="minorHAnsi"/>
          <w:color w:val="000000"/>
          <w:sz w:val="24"/>
          <w:szCs w:val="24"/>
        </w:rPr>
        <w:t xml:space="preserve">2024, que é pa</w:t>
      </w:r>
      <w:r>
        <w:rPr>
          <w:rFonts w:asciiTheme="minorHAnsi" w:hAnsiTheme="minorHAnsi" w:cstheme="minorHAnsi"/>
          <w:sz w:val="24"/>
          <w:szCs w:val="24"/>
        </w:rPr>
        <w:t>rte integrante desta Ata, assim como as propostas cujos preços tenham sido registrados, independentemente de transcrição.</w:t>
      </w:r>
    </w:p>
    <w:p w14:paraId="5019E246" w14:textId="77777777" w:rsidR="00DB59D9" w:rsidRDefault="00000000">
      <w:pPr>
        <w:pStyle w:val="Nivel01"/>
        <w:numPr>
          <w:ilvl w:val="0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DOS PREÇOS, ESPECIFICAÇÕES E QUANTITATIVOS</w:t>
      </w:r>
    </w:p>
    <w:p w14:paraId="0C0A6F8D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O preço registrado, as especificações do objeto, as quantidades mínimas e máximas de cada item, fornecedor(es) e as demais condições ofertadas na(s) proposta(s) são as que seguem: </w:t>
      </w:r>
    </w:p>
    <w:p w14:paraId="4203EA20" w14:textId="77777777" w:rsidR="00251C60" w:rsidRPr="00DE4348" w:rsidRDefault="00251C60" w:rsidP="00251C60">
      <w:pPr>
        <w:widowControl w:val="0"/>
        <w:tabs>
          <w:tab w:val="center" w:pos="4779"/>
          <w:tab w:val="right" w:pos="9198"/>
        </w:tabs>
        <w:spacing w:before="120" w:after="120" w:line="276" w:lineRule="auto"/>
        <w:ind w:right="-28"/>
        <w:jc w:val="both"/>
        <w:rPr>
          <w:rFonts w:asciiTheme="minorHAnsi" w:hAnsiTheme="minorHAnsi" w:cstheme="minorHAnsi"/>
          <w:u w:val="single"/>
        </w:rPr>
      </w:pP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9921"/>
            <w:gridSpan w:val="3"/>
            <w:shd w:fill="E3E3E3"/>
          </w:tcPr>
          <w:p>
            <w:r>
              <w:rPr>
                <w:rFonts w:ascii="Calibri" w:hAnsi="Calibri"/>
                <w:b/>
                <w:sz w:val="24"/>
              </w:rPr>
              <w:t>Item 35 - Escova limpeza geral (None)</w:t>
            </w:r>
          </w:p>
        </w:tc>
      </w:tr>
      <w:tr>
        <w:tc>
          <w:tcPr>
            <w:tcW w:type="dxa" w:w="9921"/>
            <w:gridSpan w:val="3"/>
          </w:tcPr>
          <w:p>
            <w:r>
              <w:rPr>
                <w:rFonts w:ascii="Calibri" w:hAnsi="Calibri"/>
              </w:rPr>
              <w:br/>
            </w:r>
            <w:r>
              <w:rPr>
                <w:rFonts w:ascii="Calibri" w:hAnsi="Calibri"/>
                <w:b/>
                <w:sz w:val="24"/>
              </w:rPr>
              <w:t>Descrição Detalhada:</w:t>
            </w:r>
            <w:r>
              <w:rPr>
                <w:rFonts w:ascii="Calibri" w:hAnsi="Calibri"/>
                <w:sz w:val="24"/>
              </w:rPr>
              <w:t xml:space="preserve"> Escova limpeza geral</w:t>
            </w:r>
            <w:r>
              <w:br/>
            </w:r>
          </w:p>
        </w:tc>
      </w:tr>
      <w:tr>
        <w:tc>
          <w:tcPr>
            <w:tcW w:type="dxa" w:w="3307"/>
          </w:tcPr>
          <w:p>
            <w:r>
              <w:rPr>
                <w:rFonts w:ascii="Calibri" w:hAnsi="Calibri"/>
                <w:b/>
                <w:sz w:val="24"/>
              </w:rPr>
              <w:t>UF:</w:t>
            </w:r>
            <w:r>
              <w:rPr>
                <w:rFonts w:ascii="Calibri" w:hAnsi="Calibri"/>
                <w:sz w:val="24"/>
              </w:rPr>
              <w:t xml:space="preserve"> Unidade</w:t>
            </w:r>
          </w:p>
        </w:tc>
        <w:tc>
          <w:tcPr>
            <w:tcW w:type="dxa" w:w="3307"/>
          </w:tcPr>
          <w:p>
            <w:r>
              <w:rPr>
                <w:rFonts w:ascii="Calibri" w:hAnsi="Calibri"/>
                <w:b/>
                <w:sz w:val="24"/>
              </w:rPr>
              <w:t>Marca:</w:t>
            </w:r>
            <w:r>
              <w:rPr>
                <w:rFonts w:ascii="Calibri" w:hAnsi="Calibri"/>
                <w:sz w:val="24"/>
              </w:rPr>
              <w:t xml:space="preserve"> None</w:t>
            </w:r>
          </w:p>
        </w:tc>
        <w:tc>
          <w:tcPr>
            <w:tcW w:type="dxa" w:w="3307"/>
          </w:tcPr>
          <w:p>
            <w:r>
              <w:rPr>
                <w:rFonts w:ascii="Calibri" w:hAnsi="Calibri"/>
                <w:b/>
                <w:sz w:val="24"/>
              </w:rPr>
              <w:t>Modelo:</w:t>
            </w:r>
            <w:r>
              <w:rPr>
                <w:rFonts w:ascii="Calibri" w:hAnsi="Calibri"/>
                <w:sz w:val="24"/>
              </w:rPr>
              <w:t xml:space="preserve"> None</w:t>
            </w:r>
          </w:p>
        </w:tc>
      </w:tr>
      <w:tr>
        <w:tc>
          <w:tcPr>
            <w:tcW w:type="dxa" w:w="3307"/>
          </w:tcPr>
          <w:p>
            <w:r>
              <w:rPr>
                <w:rFonts w:ascii="Calibri" w:hAnsi="Calibri"/>
                <w:b/>
                <w:sz w:val="24"/>
              </w:rPr>
              <w:t>Quantidade:</w:t>
            </w:r>
            <w:r>
              <w:rPr>
                <w:rFonts w:ascii="Calibri" w:hAnsi="Calibri"/>
                <w:sz w:val="24"/>
              </w:rPr>
              <w:t xml:space="preserve"> 480</w:t>
            </w:r>
            <w:r>
              <w:br/>
            </w:r>
          </w:p>
        </w:tc>
        <w:tc>
          <w:tcPr>
            <w:tcW w:type="dxa" w:w="3307"/>
          </w:tcPr>
          <w:p>
            <w:r>
              <w:rPr>
                <w:rFonts w:ascii="Calibri" w:hAnsi="Calibri"/>
                <w:b/>
                <w:sz w:val="24"/>
              </w:rPr>
              <w:t>Valor Unitário:</w:t>
            </w:r>
            <w:r>
              <w:rPr>
                <w:rFonts w:ascii="Calibri" w:hAnsi="Calibri"/>
                <w:sz w:val="24"/>
              </w:rPr>
              <w:t xml:space="preserve"> R$ 3,00</w:t>
            </w:r>
            <w:r>
              <w:br/>
            </w:r>
          </w:p>
        </w:tc>
        <w:tc>
          <w:tcPr>
            <w:tcW w:type="dxa" w:w="3307"/>
          </w:tcPr>
          <w:p>
            <w:r>
              <w:rPr>
                <w:rFonts w:ascii="Calibri" w:hAnsi="Calibri"/>
                <w:b/>
                <w:sz w:val="24"/>
              </w:rPr>
              <w:t>Valor Total:</w:t>
            </w:r>
            <w:r>
              <w:rPr>
                <w:rFonts w:ascii="Calibri" w:hAnsi="Calibri"/>
                <w:sz w:val="24"/>
              </w:rPr>
              <w:t xml:space="preserve"> R$ 1.440,00</w:t>
            </w:r>
            <w:r>
              <w:br/>
            </w:r>
          </w:p>
        </w:tc>
      </w:tr>
    </w:tbl>
    <w:p w14:paraId="03A04417" w14:textId="77777777" w:rsidR="00483E3A" w:rsidRDefault="00483E3A" w:rsidP="00483E3A">
      <w:pPr>
        <w:spacing w:line="276" w:lineRule="auto"/>
        <w:rPr>
          <w:rFonts w:asciiTheme="minorHAnsi" w:hAnsiTheme="minorHAnsi" w:cstheme="minorHAnsi"/>
          <w:lang w:eastAsia="en-US"/>
        </w:rPr>
      </w:pPr>
      <w:r>
        <w:rPr>
          <w:rFonts w:ascii="Calibri" w:hAnsi="Calibri"/>
          <w:b w:val="0"/>
          <w:sz w:val="24"/>
        </w:rPr>
        <w:t>Valor total homologado para a empresa:</w:t>
        <w:br/>
      </w:r>
      <w:r>
        <w:rPr>
          <w:rFonts w:ascii="Calibri" w:hAnsi="Calibri"/>
          <w:b/>
          <w:sz w:val="24"/>
        </w:rPr>
        <w:t>R$ 1.440,00 (Mil, quatrocentos e quarenta reais)</w:t>
        <w:br/>
      </w:r>
    </w:p>
    <w:p w14:paraId="72CEE990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  <w:sz w:val="24"/>
          <w:szCs w:val="24"/>
          <w:lang w:eastAsia="en-US"/>
        </w:rPr>
      </w:pPr>
      <w:r>
        <w:rPr>
          <w:rFonts w:asciiTheme="minorHAnsi" w:hAnsiTheme="minorHAnsi" w:cstheme="minorHAnsi"/>
          <w:sz w:val="24"/>
          <w:szCs w:val="24"/>
          <w:lang w:eastAsia="en-US"/>
        </w:rPr>
        <w:t>A listagem do cadastro de reserva referente ao presente registro de preços consta como anexo a esta Ata.</w:t>
      </w:r>
    </w:p>
    <w:p w14:paraId="06E3254A" w14:textId="77777777" w:rsidR="00DB59D9" w:rsidRDefault="00000000">
      <w:pPr>
        <w:pStyle w:val="Nivel01"/>
        <w:numPr>
          <w:ilvl w:val="0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ÓRGÃO(S) GERENCIADOR E PARTICIPANTE(S)</w:t>
      </w:r>
    </w:p>
    <w:p w14:paraId="531A319E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O órgão gerenciador será o CEIMSPA (CEIMSPA)</w:t>
      </w:r>
      <w:r>
        <w:rPr>
          <w:rFonts w:ascii="Calibri" w:hAnsi="Calibri" w:cs="Calibri"/>
          <w:color w:val="000000"/>
          <w:sz w:val="24"/>
          <w:szCs w:val="24"/>
        </w:rPr>
        <w:t>,</w:t>
      </w:r>
      <w:r>
        <w:rPr>
          <w:rFonts w:asciiTheme="minorHAnsi" w:hAnsiTheme="minorHAnsi" w:cstheme="minorHAnsi"/>
          <w:sz w:val="24"/>
          <w:szCs w:val="24"/>
        </w:rPr>
        <w:t xml:space="preserve"> e a relação de órgãos participantes consta em anexo ao Termo de Referência.</w:t>
      </w:r>
    </w:p>
    <w:p w14:paraId="2EEE5AE8" w14:textId="77777777" w:rsidR="00DB59D9" w:rsidRDefault="00000000">
      <w:pPr>
        <w:pStyle w:val="Nivel01"/>
        <w:numPr>
          <w:ilvl w:val="0"/>
          <w:numId w:val="1"/>
        </w:numPr>
        <w:ind w:left="0" w:firstLine="0"/>
        <w:rPr>
          <w:rFonts w:asciiTheme="minorHAnsi" w:hAnsiTheme="minorHAnsi" w:cstheme="minorHAnsi"/>
          <w:color w:val="000000"/>
          <w:sz w:val="24"/>
          <w:szCs w:val="24"/>
        </w:rPr>
      </w:pPr>
      <w:r>
        <w:rPr>
          <w:rFonts w:asciiTheme="minorHAnsi" w:hAnsiTheme="minorHAnsi" w:cstheme="minorHAnsi"/>
          <w:color w:val="000000"/>
          <w:sz w:val="24"/>
          <w:szCs w:val="24"/>
        </w:rPr>
        <w:t>DA ADESÃO À ATA DE REGISTRO DE PREÇOS</w:t>
      </w:r>
    </w:p>
    <w:p w14:paraId="09224E53" w14:textId="77777777" w:rsidR="00DB59D9" w:rsidRDefault="00000000">
      <w:pPr>
        <w:pStyle w:val="Nvel2-Red"/>
        <w:numPr>
          <w:ilvl w:val="1"/>
          <w:numId w:val="1"/>
        </w:numPr>
        <w:ind w:left="0" w:firstLine="0"/>
        <w:rPr>
          <w:rFonts w:asciiTheme="minorHAnsi" w:hAnsiTheme="minorHAnsi" w:cstheme="minorHAnsi"/>
          <w:i w:val="0"/>
          <w:iCs w:val="0"/>
          <w:color w:val="000000"/>
          <w:sz w:val="24"/>
          <w:szCs w:val="24"/>
          <w:lang w:eastAsia="en-US"/>
        </w:rPr>
      </w:pPr>
      <w:r>
        <w:rPr>
          <w:rFonts w:asciiTheme="minorHAnsi" w:hAnsiTheme="minorHAnsi" w:cstheme="minorHAnsi"/>
          <w:i w:val="0"/>
          <w:iCs w:val="0"/>
          <w:color w:val="000000"/>
          <w:sz w:val="24"/>
          <w:szCs w:val="24"/>
          <w:lang w:eastAsia="en-US"/>
        </w:rPr>
        <w:t>Não será admitida a adesão à ata de registro de preços decorrente desta licitação ou desta contratação direta, conforme justificativa apresentada nos estudos técnicos preliminares.</w:t>
      </w:r>
    </w:p>
    <w:p w14:paraId="04238A0B" w14:textId="77777777" w:rsidR="00DB59D9" w:rsidRDefault="00000000">
      <w:pPr>
        <w:pStyle w:val="SubTitNN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iCs w:val="0"/>
          <w:color w:val="000000"/>
          <w:sz w:val="24"/>
          <w:szCs w:val="24"/>
        </w:rPr>
        <w:t>Vedação a acr</w:t>
      </w:r>
      <w:r>
        <w:rPr>
          <w:rFonts w:asciiTheme="minorHAnsi" w:hAnsiTheme="minorHAnsi" w:cstheme="minorHAnsi"/>
          <w:sz w:val="24"/>
          <w:szCs w:val="24"/>
        </w:rPr>
        <w:t>éscimo de quantitativos</w:t>
      </w:r>
    </w:p>
    <w:p w14:paraId="62736AD6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É vedado efetuar acréscimos nos quantitativos fixados na ata de registro de preços.</w:t>
      </w:r>
    </w:p>
    <w:p w14:paraId="00D67F58" w14:textId="77777777" w:rsidR="00DB59D9" w:rsidRDefault="00000000">
      <w:pPr>
        <w:pStyle w:val="Nivel01"/>
        <w:numPr>
          <w:ilvl w:val="0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VALIDADE, FORMALIZAÇÃO DA ATA DE REGISTRO DE PREÇOS E CADASTRO RESERVA</w:t>
      </w:r>
    </w:p>
    <w:p w14:paraId="3FE00027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 xml:space="preserve">A validade da Ata de Registro </w:t>
      </w:r>
      <w:r>
        <w:rPr>
          <w:rFonts w:asciiTheme="minorHAnsi" w:hAnsiTheme="minorHAnsi" w:cstheme="minorHAnsi"/>
          <w:color w:val="000000"/>
          <w:sz w:val="24"/>
          <w:szCs w:val="24"/>
        </w:rPr>
        <w:t>de Preços será de 1 (um) ano, contado a partir do primeiro dia útil subsequente à data de divulgação no PNCP, podendo ser prorrogada por igual período, mediante a anuência do fornecedor, desde que comprovado o preço vantajoso.</w:t>
      </w:r>
    </w:p>
    <w:p w14:paraId="0F729FF4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O contrato decorrente da ata de registro de preços terá sua vigência estabelecida no próprio instrumento contratual e observará no momento da contratação e a cada exercício financeiro a disponibilidade de créditos orçamentários, bem como a previsão no plano plurianual, quando ultrapassar 1 (um) exercício financeiro.</w:t>
      </w:r>
    </w:p>
    <w:p w14:paraId="3B6F1308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Na formalização do contrato ou do instrumento substituto deverá haver a indicação da disponibilidade dos créditos orçamentários respectivos.</w:t>
      </w:r>
    </w:p>
    <w:p w14:paraId="2F39E702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A contratação com os fornecedores registrados na ata será formalizada pelo órgão ou pela en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 xml:space="preserve">dade interessada por intermédio de instrumento contratual, emissão de nota de empenho de </w:t>
      </w:r>
      <w:r>
        <w:rPr>
          <w:rFonts w:asciiTheme="minorHAnsi" w:hAnsiTheme="minorHAnsi" w:cstheme="minorHAnsi"/>
          <w:sz w:val="24"/>
          <w:szCs w:val="24"/>
        </w:rPr>
        <w:lastRenderedPageBreak/>
        <w:t>despesa, autorização de compra ou outro instrumento hábil, conforme o art. 95 da Lei nº 14.133, de 2021.</w:t>
      </w:r>
    </w:p>
    <w:p w14:paraId="5B600E0B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 O instrumento contratual de que trata o item 5.2. deverá ser assinado no prazo de validade da ata de registro de preços.</w:t>
      </w:r>
    </w:p>
    <w:p w14:paraId="0F079F6E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Os contratos decorrentes do sistema de registro de preços poderão ser alterados, observado o art. 124 da Lei nº 14.133, de 2021.</w:t>
      </w:r>
    </w:p>
    <w:p w14:paraId="327BF3DD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Após a homologação da licitação ou da contratação direta, deverão ser observadas as seguintes condições para formalização da ata de registro de preços:</w:t>
      </w:r>
    </w:p>
    <w:p w14:paraId="584721E7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Serão registrados na ata os preços e os quantita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vos do adjudicatário, devendo ser observada a possibilidade de o licitante oferecer ou não proposta em quantitativo inferior ao máximo previ</w:t>
      </w:r>
      <w:r>
        <w:rPr>
          <w:rFonts w:asciiTheme="minorHAnsi" w:hAnsiTheme="minorHAnsi" w:cstheme="minorHAnsi"/>
          <w:color w:val="000000"/>
          <w:sz w:val="24"/>
          <w:szCs w:val="24"/>
        </w:rPr>
        <w:t>sto no edital</w:t>
      </w:r>
      <w:r>
        <w:rPr>
          <w:rFonts w:asciiTheme="minorHAnsi" w:hAnsiTheme="minorHAnsi" w:cstheme="minorHAnsi"/>
          <w:color w:val="FF0000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e se obrigar nos limites dela;</w:t>
      </w:r>
    </w:p>
    <w:p w14:paraId="3BEC72BC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Será incluído na ata, na forma de anexo, o registro dos licitantes ou dos fornecedores que:</w:t>
      </w:r>
    </w:p>
    <w:p w14:paraId="78FA6BA3" w14:textId="77777777" w:rsidR="00DB59D9" w:rsidRDefault="00000000">
      <w:pPr>
        <w:pStyle w:val="Nvel4"/>
        <w:numPr>
          <w:ilvl w:val="3"/>
          <w:numId w:val="1"/>
        </w:numPr>
        <w:ind w:left="567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Aceitarem cotar os bens, as obras ou os serviços com preços iguais aos do adjudicatário, observada a classificação da licitação; e </w:t>
      </w:r>
    </w:p>
    <w:p w14:paraId="3A004826" w14:textId="77777777" w:rsidR="00DB59D9" w:rsidRDefault="00000000">
      <w:pPr>
        <w:pStyle w:val="Nvel4"/>
        <w:numPr>
          <w:ilvl w:val="3"/>
          <w:numId w:val="1"/>
        </w:numPr>
        <w:ind w:left="567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Mantiverem sua proposta original. </w:t>
      </w:r>
      <w:bookmarkStart w:id="0" w:name="cadastro_reserva"/>
      <w:bookmarkEnd w:id="0"/>
    </w:p>
    <w:p w14:paraId="37DC9E11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Será respeitada, nas contratações, a ordem de classificação dos licitantes ou dos fornecedores registrados na ata.</w:t>
      </w:r>
    </w:p>
    <w:p w14:paraId="25A8B7DC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O registro a que se refere o item 5.4.2</w:t>
      </w:r>
      <w:r>
        <w:rPr>
          <w:rFonts w:asciiTheme="minorHAnsi" w:hAnsiTheme="minorHAnsi" w:cstheme="minorHAnsi"/>
          <w:b/>
          <w:bCs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tem por obje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vo a formação de cadastro de reserva para o caso de impossibilidade de atendimento pelo signatário da ata.</w:t>
      </w:r>
    </w:p>
    <w:p w14:paraId="54A249EA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Para fins da ordem de classificação, os licitantes ou fornecedores que aceitarem reduzir suas propostas para o preço do adjudicatário antecederão aqueles que mantiverem sua proposta original.</w:t>
      </w:r>
    </w:p>
    <w:p w14:paraId="70FA6B6C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 xml:space="preserve">A habilitação dos licitantes que comporão o cadastro de reserva a que se refere o item </w:t>
      </w:r>
      <w:r>
        <w:rPr>
          <w:rFonts w:ascii="Calibri" w:hAnsi="Calibri" w:cs="Calibri"/>
          <w:sz w:val="24"/>
          <w:szCs w:val="24"/>
        </w:rPr>
        <w:fldChar w:fldCharType="begin"/>
      </w:r>
      <w:r>
        <w:rPr>
          <w:rFonts w:ascii="Calibri" w:hAnsi="Calibri" w:cs="Calibri"/>
          <w:sz w:val="24"/>
          <w:szCs w:val="24"/>
        </w:rPr>
        <w:instrText xml:space="preserve"> REF cadastro_reserva \r \h </w:instrText>
      </w:r>
      <w:r>
        <w:rPr>
          <w:rFonts w:ascii="Calibri" w:hAnsi="Calibri" w:cs="Calibri"/>
          <w:sz w:val="24"/>
          <w:szCs w:val="24"/>
        </w:rPr>
      </w:r>
      <w:r>
        <w:rPr>
          <w:rFonts w:ascii="Calibri" w:hAnsi="Calibri" w:cs="Calibri"/>
          <w:sz w:val="24"/>
          <w:szCs w:val="24"/>
        </w:rPr>
        <w:fldChar w:fldCharType="separate"/>
      </w:r>
      <w:r>
        <w:rPr>
          <w:rFonts w:ascii="Calibri" w:hAnsi="Calibri" w:cs="Calibri"/>
          <w:sz w:val="24"/>
          <w:szCs w:val="24"/>
        </w:rPr>
        <w:t>5.4.2.2.</w:t>
      </w:r>
      <w:r>
        <w:rPr>
          <w:rFonts w:ascii="Calibri" w:hAnsi="Calibri" w:cs="Calibri"/>
          <w:sz w:val="24"/>
          <w:szCs w:val="24"/>
        </w:rPr>
        <w:fldChar w:fldCharType="end"/>
      </w:r>
      <w:r>
        <w:rPr>
          <w:rFonts w:asciiTheme="minorHAnsi" w:hAnsiTheme="minorHAnsi" w:cstheme="minorHAnsi"/>
          <w:sz w:val="24"/>
          <w:szCs w:val="24"/>
        </w:rPr>
        <w:t xml:space="preserve"> somente será efetuada quando houver necessidade de contratação dos licitantes remanescentes, nas seguintes hipóteses:</w:t>
      </w:r>
    </w:p>
    <w:p w14:paraId="51F81122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Quando o l</w:t>
      </w:r>
      <w:r>
        <w:rPr>
          <w:rFonts w:asciiTheme="minorHAnsi" w:hAnsiTheme="minorHAnsi" w:cstheme="minorHAnsi"/>
          <w:color w:val="000000"/>
          <w:sz w:val="24"/>
          <w:szCs w:val="24"/>
        </w:rPr>
        <w:t>icitante vencedor não assinar a ata de registro de preços, no prazo e nas condições estabelecidos no edital; e</w:t>
      </w:r>
    </w:p>
    <w:p w14:paraId="34B62BC8" w14:textId="69B08559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color w:val="000000"/>
          <w:sz w:val="24"/>
          <w:szCs w:val="24"/>
        </w:rPr>
        <w:t>Quando houver o cancel</w:t>
      </w:r>
      <w:r>
        <w:rPr>
          <w:rFonts w:asciiTheme="minorHAnsi" w:hAnsiTheme="minorHAnsi" w:cstheme="minorHAnsi"/>
          <w:sz w:val="24"/>
          <w:szCs w:val="24"/>
        </w:rPr>
        <w:t xml:space="preserve">amento do registro do licitante ou do registro de preços nas hipóteses previstas no item </w:t>
      </w:r>
      <w:r>
        <w:rPr>
          <w:rFonts w:ascii="Calibri" w:hAnsi="Calibri" w:cs="Calibri"/>
          <w:sz w:val="24"/>
          <w:szCs w:val="24"/>
        </w:rPr>
        <w:fldChar w:fldCharType="begin"/>
      </w:r>
      <w:r>
        <w:rPr>
          <w:rFonts w:ascii="Calibri" w:hAnsi="Calibri" w:cs="Calibri"/>
          <w:sz w:val="24"/>
          <w:szCs w:val="24"/>
        </w:rPr>
        <w:instrText xml:space="preserve"> REF cancelamento \r \h </w:instrText>
      </w:r>
      <w:r>
        <w:rPr>
          <w:rFonts w:ascii="Calibri" w:hAnsi="Calibri" w:cs="Calibri"/>
          <w:sz w:val="24"/>
          <w:szCs w:val="24"/>
        </w:rPr>
      </w:r>
      <w:r>
        <w:rPr>
          <w:rFonts w:ascii="Calibri" w:hAnsi="Calibri" w:cs="Calibri"/>
          <w:sz w:val="24"/>
          <w:szCs w:val="24"/>
        </w:rPr>
        <w:fldChar w:fldCharType="separate"/>
      </w:r>
      <w:r w:rsidR="00196418">
        <w:rPr>
          <w:rFonts w:ascii="Calibri" w:hAnsi="Calibri" w:cs="Calibri"/>
          <w:sz w:val="24"/>
          <w:szCs w:val="24"/>
        </w:rPr>
        <w:t>9</w:t>
      </w:r>
      <w:r>
        <w:rPr>
          <w:rFonts w:ascii="Calibri" w:hAnsi="Calibri" w:cs="Calibri"/>
          <w:sz w:val="24"/>
          <w:szCs w:val="24"/>
        </w:rPr>
        <w:fldChar w:fldCharType="end"/>
      </w:r>
      <w:r>
        <w:rPr>
          <w:rFonts w:asciiTheme="minorHAnsi" w:hAnsiTheme="minorHAnsi" w:cstheme="minorHAnsi"/>
          <w:sz w:val="24"/>
          <w:szCs w:val="24"/>
        </w:rPr>
        <w:t>.</w:t>
      </w:r>
    </w:p>
    <w:p w14:paraId="4BBA56BF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O preço registrado com indicação dos licitantes e fornecedores será divulgado no PNCP e ficará disponibilizado durante a vigência da ata de registro de preços.</w:t>
      </w:r>
    </w:p>
    <w:p w14:paraId="469EB4FA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Após a homologação da licitação ou da contratação direta, o licitante mais bem classificado ou o fornecedor, no caso da contratação direta, será convocado para assinar a ata de registro de preços, </w:t>
      </w:r>
      <w:r>
        <w:rPr>
          <w:rFonts w:asciiTheme="minorHAnsi" w:hAnsiTheme="minorHAnsi" w:cstheme="minorHAnsi"/>
          <w:sz w:val="24"/>
          <w:szCs w:val="24"/>
        </w:rPr>
        <w:lastRenderedPageBreak/>
        <w:t>no prazo e nas condições estabelecidos no edital de licitação ou no aviso de contratação direta, sob pena de decair o direito, sem prejuízo das sanções previstas na Lei nº 14.133, de 2021.</w:t>
      </w:r>
    </w:p>
    <w:p w14:paraId="5191C19F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O prazo de convocação poderá ser prorrogado 1 (uma) vez, por igual período, mediante solicitação do licitante ou fornecedor convocado, desde que apresentada dentro do prazo, devidamente justificada, e que a justificativa seja aceita pela Administração.</w:t>
      </w:r>
    </w:p>
    <w:p w14:paraId="5FBDD2B1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A ata de registro de preços será assinada por meio de assinatura digital e disponibilizada no Sistema de Registro de Preços.</w:t>
      </w:r>
    </w:p>
    <w:p w14:paraId="1048B9A7" w14:textId="1BD7BCC3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 xml:space="preserve">Quando o convocado não assinar a ata de registro de preços no prazo e nas condições estabelecidos no edital ou no aviso de contratação, e observado o disposto no item </w:t>
      </w:r>
      <w:r w:rsidR="00196418">
        <w:rPr>
          <w:rFonts w:asciiTheme="minorHAnsi" w:hAnsiTheme="minorHAnsi" w:cstheme="minorHAnsi"/>
          <w:sz w:val="24"/>
          <w:szCs w:val="24"/>
        </w:rPr>
        <w:t>5.7</w:t>
      </w:r>
      <w:r>
        <w:rPr>
          <w:rFonts w:asciiTheme="minorHAnsi" w:hAnsiTheme="minorHAnsi" w:cstheme="minorHAnsi"/>
          <w:sz w:val="24"/>
          <w:szCs w:val="24"/>
        </w:rPr>
        <w:t>, observando o item 5.7 e subitens, fica facultado à Administração convocar os licitantes remanescentes do cadastro de reserva, na ordem de classificação, para fazê-lo em igual prazo e nas condições propostas pelo primeiro classificado.</w:t>
      </w:r>
    </w:p>
    <w:p w14:paraId="5106FDFB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Na hipótese de nenhum dos licitantes que trata o item 5.4.2.1, aceitar a contratação nos termo</w:t>
      </w:r>
      <w:r>
        <w:rPr>
          <w:rFonts w:asciiTheme="minorHAnsi" w:hAnsiTheme="minorHAnsi" w:cstheme="minorHAnsi"/>
          <w:color w:val="000000"/>
          <w:sz w:val="24"/>
          <w:szCs w:val="24"/>
        </w:rPr>
        <w:t>s do item anterior, a Administração, observados o valor es</w:t>
      </w:r>
      <w:r>
        <w:rPr>
          <w:rFonts w:asciiTheme="minorHAnsi" w:eastAsia="Arial" w:hAnsiTheme="minorHAnsi" w:cstheme="minorHAnsi"/>
          <w:color w:val="000000"/>
          <w:sz w:val="24"/>
          <w:szCs w:val="24"/>
        </w:rPr>
        <w:t>ti</w:t>
      </w:r>
      <w:r>
        <w:rPr>
          <w:rFonts w:asciiTheme="minorHAnsi" w:hAnsiTheme="minorHAnsi" w:cstheme="minorHAnsi"/>
          <w:color w:val="000000"/>
          <w:sz w:val="24"/>
          <w:szCs w:val="24"/>
        </w:rPr>
        <w:t>mado e sua eventual atualização nos termos do edital, po</w:t>
      </w:r>
      <w:r>
        <w:rPr>
          <w:rFonts w:asciiTheme="minorHAnsi" w:hAnsiTheme="minorHAnsi" w:cstheme="minorHAnsi"/>
          <w:sz w:val="24"/>
          <w:szCs w:val="24"/>
        </w:rPr>
        <w:t>derá:</w:t>
      </w:r>
    </w:p>
    <w:p w14:paraId="144A5682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Convocar para negociação os demais licitantes ou fornecedores remanescentes cujos preços foram registrados sem redução, observada a ordem de classificação, com vistas à obtenção de preço melhor, mesmo que acima do preço do adjudicatário; ou</w:t>
      </w:r>
    </w:p>
    <w:p w14:paraId="02E58848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Adjudicar e firmar o contrato nas condições ofertadas pelos licitantes ou fornecedores remanescentes, atendida a ordem classificatória, quando frustrada a negociação de melhor condição.</w:t>
      </w:r>
    </w:p>
    <w:p w14:paraId="3AA9D779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A existência de preços registrados implicará compromisso de fornecimento nas condições estabelecidas, mas não obrigará a Administração a contratar, facultada a realização de licitação específica para a aquisição pretendida, desde que devidamente justificada.</w:t>
      </w:r>
    </w:p>
    <w:p w14:paraId="20BC01F8" w14:textId="77777777" w:rsidR="00DB59D9" w:rsidRDefault="00000000">
      <w:pPr>
        <w:pStyle w:val="Nivel01"/>
        <w:numPr>
          <w:ilvl w:val="0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ALTERAÇÃO OU ATUALIZAÇÃO DOS PREÇOS REGISTRADOS</w:t>
      </w:r>
    </w:p>
    <w:p w14:paraId="67A45CBC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Os preços registrados poderão ser alterados ou atualizados em decorrência de eventual redução dos preços pra</w:t>
      </w:r>
      <w:r>
        <w:rPr>
          <w:rFonts w:asciiTheme="minorHAnsi" w:eastAsia="Calibri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cados no mercado ou de fato que eleve o custo dos bens, das obras ou dos serviços registrados, nas seguintes situações:</w:t>
      </w:r>
    </w:p>
    <w:p w14:paraId="278689BD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 xml:space="preserve">Em caso de força maior, caso fortuito ou fato do príncipe ou em decorrência de fatos imprevisíveis ou previsíveis de consequências incalculáveis, que inviabilizem a execução da ata tal </w:t>
      </w:r>
      <w:r>
        <w:rPr>
          <w:rFonts w:asciiTheme="minorHAnsi" w:hAnsiTheme="minorHAnsi" w:cstheme="minorHAnsi"/>
          <w:color w:val="000000"/>
          <w:sz w:val="24"/>
          <w:szCs w:val="24"/>
        </w:rPr>
        <w:t>como pactuada, nos termos da alínea “d” do inciso II do caput do art. 124 da Lei nº 14.133, de 2021;</w:t>
      </w:r>
    </w:p>
    <w:p w14:paraId="6F5EF1A5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Em caso de criação, alteração ou ex</w:t>
      </w:r>
      <w:r>
        <w:rPr>
          <w:rFonts w:asciiTheme="minorHAnsi" w:eastAsia="Calibri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 xml:space="preserve">nção de quaisquer tributos ou encargos legais ou a superveniência de disposições legais, com comprovada repercussão sobre os preços registrados; </w:t>
      </w:r>
    </w:p>
    <w:p w14:paraId="28694CEA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lastRenderedPageBreak/>
        <w:t>Na hipótese de previsão no edital ou no aviso de contratação direta de cláusula de reajustamento ou repactuação sobre os preços registrados, nos termos da Lei nº 14.133, de 2021.</w:t>
      </w:r>
    </w:p>
    <w:p w14:paraId="6AB87E27" w14:textId="77777777" w:rsidR="00DB59D9" w:rsidRDefault="00000000">
      <w:pPr>
        <w:pStyle w:val="Nvel4"/>
        <w:numPr>
          <w:ilvl w:val="3"/>
          <w:numId w:val="1"/>
        </w:numPr>
        <w:ind w:left="567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No caso do reajustamento, deverá ser respeitada a contagem da anualidade e o índice previstos para a contratação;  </w:t>
      </w:r>
    </w:p>
    <w:p w14:paraId="42CC9381" w14:textId="77777777" w:rsidR="00DB59D9" w:rsidRDefault="00000000">
      <w:pPr>
        <w:pStyle w:val="Nvel4"/>
        <w:numPr>
          <w:ilvl w:val="3"/>
          <w:numId w:val="1"/>
        </w:numPr>
        <w:ind w:left="567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No caso da repactuação, poderá ser a pedido do interessado, conforme critérios definidos para a contratação.</w:t>
      </w:r>
    </w:p>
    <w:p w14:paraId="3D43A6F0" w14:textId="77777777" w:rsidR="00DB59D9" w:rsidRDefault="00000000">
      <w:pPr>
        <w:pStyle w:val="Nivel01"/>
        <w:numPr>
          <w:ilvl w:val="0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NEGOCIAÇÃO DE PREÇOS REGISTRADOS</w:t>
      </w:r>
    </w:p>
    <w:p w14:paraId="67680E51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Na hipótese de o preço registrado tornar-se superior ao preço pra</w:t>
      </w:r>
      <w:r>
        <w:rPr>
          <w:rFonts w:asciiTheme="minorHAnsi" w:eastAsia="Calibri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cado no mercado por mo</w:t>
      </w:r>
      <w:r>
        <w:rPr>
          <w:rFonts w:asciiTheme="minorHAnsi" w:eastAsia="Calibri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vo superveniente, o órgão ou en</w:t>
      </w:r>
      <w:r>
        <w:rPr>
          <w:rFonts w:asciiTheme="minorHAnsi" w:eastAsia="Calibri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dade gerenciadora convocará o fornecedor para negociar a redução do preço registrado.</w:t>
      </w:r>
    </w:p>
    <w:p w14:paraId="1DFA1E0F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Caso não aceite reduzir seu preço aos valores pra</w:t>
      </w:r>
      <w:r>
        <w:rPr>
          <w:rFonts w:asciiTheme="minorHAnsi" w:eastAsia="Calibri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cados pelo mercado, o fornecedor será liberado do compromisso assumido quanto ao item registrado, sem aplicação de penalidades administrativas.</w:t>
      </w:r>
    </w:p>
    <w:p w14:paraId="1F5FD6C1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Na hipótese prevista no item anterior, o gerenciador convocará os fornecedores do cadastro de reserva, na ordem de classificação, para verificar se aceitam reduzir seus preços aos valores de mercado e não convocará os licitantes ou fornecedores que tiveram seu registro cancelado. </w:t>
      </w:r>
    </w:p>
    <w:p w14:paraId="3ABE7185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Se não obtiver êxito nas negociações, o órgão ou en</w:t>
      </w:r>
      <w:r>
        <w:rPr>
          <w:rFonts w:asciiTheme="minorHAnsi" w:eastAsia="Calibri" w:hAnsiTheme="minorHAnsi" w:cstheme="minorHAnsi"/>
          <w:sz w:val="24"/>
          <w:szCs w:val="24"/>
        </w:rPr>
        <w:t>tid</w:t>
      </w:r>
      <w:r>
        <w:rPr>
          <w:rFonts w:asciiTheme="minorHAnsi" w:hAnsiTheme="minorHAnsi" w:cstheme="minorHAnsi"/>
          <w:sz w:val="24"/>
          <w:szCs w:val="24"/>
        </w:rPr>
        <w:t>ade gerenciadora procederá ao cancelamento da ata de registro de preços, adotando as medidas cabíveis para obtenção de contratação mais vantajosa.</w:t>
      </w:r>
      <w:bookmarkStart w:id="1" w:name="reducao_preco_mercado_negociacao_frustra"/>
      <w:bookmarkEnd w:id="1"/>
    </w:p>
    <w:p w14:paraId="3715D921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Na hipótese de redução do preço registrado, o gerenciador comunicará aos órgãos e às en</w:t>
      </w:r>
      <w:r>
        <w:rPr>
          <w:rFonts w:asciiTheme="minorHAnsi" w:eastAsia="Calibri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 xml:space="preserve">dades que </w:t>
      </w:r>
      <w:r>
        <w:rPr>
          <w:rFonts w:asciiTheme="minorHAnsi" w:eastAsia="Calibri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verem firmado contratos decorrentes da ata de registro de preços para que avaliem a conveniência e a oportunidade de diligenciarem negociação com vistas à alteração contratual, observado o disposto no art. 124 da Lei nº 14.133, de 2021.</w:t>
      </w:r>
    </w:p>
    <w:p w14:paraId="5C378A59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Na hipótese de o preço de mercado tornar-se superior ao preço registrado e o fornecedor não poder cumprir as obrigações estabelecidas na ata, será facultado ao fornecedor requerer ao gerenciador a alteração do preço registrado, mediante comprovação de fato superveniente que supostamente o impossibilite de cumprir o compromisso.</w:t>
      </w:r>
      <w:bookmarkStart w:id="2" w:name="hipotese_preco_mercado_maior"/>
      <w:bookmarkEnd w:id="2"/>
    </w:p>
    <w:p w14:paraId="59C35D7C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Neste caso, o fornecedor encaminhará, juntamente com o pedido de alteração, a documentação comprobatória ou </w:t>
      </w:r>
      <w:proofErr w:type="spellStart"/>
      <w:r>
        <w:rPr>
          <w:rFonts w:asciiTheme="minorHAnsi" w:hAnsiTheme="minorHAnsi" w:cstheme="minorHAnsi"/>
          <w:sz w:val="24"/>
          <w:szCs w:val="24"/>
        </w:rPr>
        <w:t>a</w:t>
      </w:r>
      <w:proofErr w:type="spellEnd"/>
      <w:r>
        <w:rPr>
          <w:rFonts w:asciiTheme="minorHAnsi" w:hAnsiTheme="minorHAnsi" w:cstheme="minorHAnsi"/>
          <w:sz w:val="24"/>
          <w:szCs w:val="24"/>
        </w:rPr>
        <w:t xml:space="preserve"> planilha de custos que demonstre a inviabilidade do preço registrado em relação às condições inicialmente pactuadas.</w:t>
      </w:r>
      <w:bookmarkStart w:id="3" w:name="prova_preco_mercado_maior"/>
      <w:bookmarkEnd w:id="3"/>
    </w:p>
    <w:p w14:paraId="36E64021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Não hipótese de não comprovação da existência de fato superveniente que inviabilize o preço registrado, o pedido será indeferido pelo órgão ou en</w:t>
      </w:r>
      <w:r>
        <w:rPr>
          <w:rFonts w:asciiTheme="minorHAnsi" w:eastAsia="Calibri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 xml:space="preserve">dade gerenciadora e o fornecedor deverá cumprir as obrigações estabelecidas na ata, sob pena de cancelamento do seu registro, nos termos do item </w:t>
      </w:r>
      <w:r>
        <w:rPr>
          <w:rFonts w:ascii="Calibri" w:hAnsi="Calibri" w:cs="Calibri"/>
          <w:sz w:val="24"/>
          <w:szCs w:val="24"/>
        </w:rPr>
        <w:fldChar w:fldCharType="begin"/>
      </w:r>
      <w:r>
        <w:rPr>
          <w:rFonts w:ascii="Calibri" w:hAnsi="Calibri" w:cs="Calibri"/>
          <w:sz w:val="24"/>
          <w:szCs w:val="24"/>
        </w:rPr>
        <w:instrText xml:space="preserve"> REF cancelamento_do_fornecedor \r \h </w:instrText>
      </w:r>
      <w:r>
        <w:rPr>
          <w:rFonts w:ascii="Calibri" w:hAnsi="Calibri" w:cs="Calibri"/>
          <w:sz w:val="24"/>
          <w:szCs w:val="24"/>
        </w:rPr>
      </w:r>
      <w:r>
        <w:rPr>
          <w:rFonts w:ascii="Calibri" w:hAnsi="Calibri" w:cs="Calibri"/>
          <w:sz w:val="24"/>
          <w:szCs w:val="24"/>
        </w:rPr>
        <w:fldChar w:fldCharType="separate"/>
      </w:r>
      <w:r>
        <w:rPr>
          <w:rFonts w:ascii="Calibri" w:hAnsi="Calibri" w:cs="Calibri"/>
          <w:sz w:val="24"/>
          <w:szCs w:val="24"/>
        </w:rPr>
        <w:t>9.1.</w:t>
      </w:r>
      <w:r>
        <w:rPr>
          <w:rFonts w:ascii="Calibri" w:hAnsi="Calibri" w:cs="Calibri"/>
          <w:sz w:val="24"/>
          <w:szCs w:val="24"/>
        </w:rPr>
        <w:fldChar w:fldCharType="end"/>
      </w:r>
      <w:r>
        <w:rPr>
          <w:rFonts w:asciiTheme="minorHAnsi" w:hAnsiTheme="minorHAnsi" w:cstheme="minorHAnsi"/>
          <w:sz w:val="24"/>
          <w:szCs w:val="24"/>
        </w:rPr>
        <w:t>, sem prejuízo das sanções previstas na Lei nº 14.133, de 2021, e na legislação aplicável.</w:t>
      </w:r>
    </w:p>
    <w:p w14:paraId="3A3702E9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lastRenderedPageBreak/>
        <w:t>Na hipótese de cancelamento do registro do fornecedor, nos termos do item anterior, o gerenciador convocará os fornecedores do cadastro de reserva, na ordem de classificação, para verificar se aceitam manter seus preços registrados, observado o disposto no item 5.7.</w:t>
      </w:r>
    </w:p>
    <w:p w14:paraId="6B778513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 xml:space="preserve">Se não obtiver êxito nas negociações, o órgão ou entidade gerenciadora procederá ao cancelamento da ata de registro de preços, nos termos do item </w:t>
      </w:r>
      <w:r>
        <w:rPr>
          <w:rFonts w:ascii="Calibri" w:hAnsi="Calibri" w:cs="Calibri"/>
          <w:sz w:val="24"/>
          <w:szCs w:val="24"/>
        </w:rPr>
        <w:fldChar w:fldCharType="begin"/>
      </w:r>
      <w:r>
        <w:rPr>
          <w:rFonts w:ascii="Calibri" w:hAnsi="Calibri" w:cs="Calibri"/>
          <w:sz w:val="24"/>
          <w:szCs w:val="24"/>
        </w:rPr>
        <w:instrText xml:space="preserve"> REF cancelamento_da_ata \r \h </w:instrText>
      </w:r>
      <w:r>
        <w:rPr>
          <w:rFonts w:ascii="Calibri" w:hAnsi="Calibri" w:cs="Calibri"/>
          <w:sz w:val="24"/>
          <w:szCs w:val="24"/>
        </w:rPr>
      </w:r>
      <w:r>
        <w:rPr>
          <w:rFonts w:ascii="Calibri" w:hAnsi="Calibri" w:cs="Calibri"/>
          <w:sz w:val="24"/>
          <w:szCs w:val="24"/>
        </w:rPr>
        <w:fldChar w:fldCharType="separate"/>
      </w:r>
      <w:r>
        <w:rPr>
          <w:rFonts w:ascii="Calibri" w:hAnsi="Calibri" w:cs="Calibri"/>
          <w:sz w:val="24"/>
          <w:szCs w:val="24"/>
        </w:rPr>
        <w:t>9.4.</w:t>
      </w:r>
      <w:r>
        <w:rPr>
          <w:rFonts w:ascii="Calibri" w:hAnsi="Calibri" w:cs="Calibri"/>
          <w:sz w:val="24"/>
          <w:szCs w:val="24"/>
        </w:rPr>
        <w:fldChar w:fldCharType="end"/>
      </w:r>
      <w:r>
        <w:rPr>
          <w:rFonts w:asciiTheme="minorHAnsi" w:hAnsiTheme="minorHAnsi" w:cstheme="minorHAnsi"/>
          <w:sz w:val="24"/>
          <w:szCs w:val="24"/>
        </w:rPr>
        <w:t>, e adotará as medidas cabíveis para a obtenção da contratação mais vantajosa.</w:t>
      </w:r>
    </w:p>
    <w:p w14:paraId="63392156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 xml:space="preserve">Na hipótese de comprovação da majoração do preço de mercado que inviabilize o preço registrado, conforme previsto no item </w:t>
      </w:r>
      <w:r>
        <w:rPr>
          <w:rFonts w:ascii="Calibri" w:hAnsi="Calibri" w:cs="Calibri"/>
          <w:sz w:val="24"/>
          <w:szCs w:val="24"/>
        </w:rPr>
        <w:fldChar w:fldCharType="begin"/>
      </w:r>
      <w:r>
        <w:rPr>
          <w:rFonts w:ascii="Calibri" w:hAnsi="Calibri" w:cs="Calibri"/>
          <w:sz w:val="24"/>
          <w:szCs w:val="24"/>
        </w:rPr>
        <w:instrText xml:space="preserve"> REF hipotese_preco_mercado_maior \r \h </w:instrText>
      </w:r>
      <w:r>
        <w:rPr>
          <w:rFonts w:ascii="Calibri" w:hAnsi="Calibri" w:cs="Calibri"/>
          <w:sz w:val="24"/>
          <w:szCs w:val="24"/>
        </w:rPr>
      </w:r>
      <w:r>
        <w:rPr>
          <w:rFonts w:ascii="Calibri" w:hAnsi="Calibri" w:cs="Calibri"/>
          <w:sz w:val="24"/>
          <w:szCs w:val="24"/>
        </w:rPr>
        <w:fldChar w:fldCharType="separate"/>
      </w:r>
      <w:r>
        <w:rPr>
          <w:rFonts w:ascii="Calibri" w:hAnsi="Calibri" w:cs="Calibri"/>
          <w:sz w:val="24"/>
          <w:szCs w:val="24"/>
        </w:rPr>
        <w:t>7.2.</w:t>
      </w:r>
      <w:r>
        <w:rPr>
          <w:rFonts w:ascii="Calibri" w:hAnsi="Calibri" w:cs="Calibri"/>
          <w:sz w:val="24"/>
          <w:szCs w:val="24"/>
        </w:rPr>
        <w:fldChar w:fldCharType="end"/>
      </w:r>
      <w:r>
        <w:rPr>
          <w:rFonts w:asciiTheme="minorHAnsi" w:hAnsiTheme="minorHAnsi" w:cstheme="minorHAnsi"/>
          <w:sz w:val="24"/>
          <w:szCs w:val="24"/>
        </w:rPr>
        <w:t xml:space="preserve"> e no item </w:t>
      </w:r>
      <w:r>
        <w:rPr>
          <w:rFonts w:ascii="Calibri" w:hAnsi="Calibri" w:cs="Calibri"/>
          <w:sz w:val="24"/>
          <w:szCs w:val="24"/>
        </w:rPr>
        <w:fldChar w:fldCharType="begin"/>
      </w:r>
      <w:r>
        <w:rPr>
          <w:rFonts w:ascii="Calibri" w:hAnsi="Calibri" w:cs="Calibri"/>
          <w:sz w:val="24"/>
          <w:szCs w:val="24"/>
        </w:rPr>
        <w:instrText xml:space="preserve"> REF prova_preco_mercado_maior \r \h </w:instrText>
      </w:r>
      <w:r>
        <w:rPr>
          <w:rFonts w:ascii="Calibri" w:hAnsi="Calibri" w:cs="Calibri"/>
          <w:sz w:val="24"/>
          <w:szCs w:val="24"/>
        </w:rPr>
      </w:r>
      <w:r>
        <w:rPr>
          <w:rFonts w:ascii="Calibri" w:hAnsi="Calibri" w:cs="Calibri"/>
          <w:sz w:val="24"/>
          <w:szCs w:val="24"/>
        </w:rPr>
        <w:fldChar w:fldCharType="separate"/>
      </w:r>
      <w:r>
        <w:rPr>
          <w:rFonts w:ascii="Calibri" w:hAnsi="Calibri" w:cs="Calibri"/>
          <w:sz w:val="24"/>
          <w:szCs w:val="24"/>
        </w:rPr>
        <w:t>7.2.1.</w:t>
      </w:r>
      <w:r>
        <w:rPr>
          <w:rFonts w:ascii="Calibri" w:hAnsi="Calibri" w:cs="Calibri"/>
          <w:sz w:val="24"/>
          <w:szCs w:val="24"/>
        </w:rPr>
        <w:fldChar w:fldCharType="end"/>
      </w:r>
      <w:r>
        <w:rPr>
          <w:rFonts w:asciiTheme="minorHAnsi" w:hAnsiTheme="minorHAnsi" w:cstheme="minorHAnsi"/>
          <w:sz w:val="24"/>
          <w:szCs w:val="24"/>
        </w:rPr>
        <w:t>, o órgão ou en</w:t>
      </w:r>
      <w:r>
        <w:rPr>
          <w:rFonts w:asciiTheme="minorHAnsi" w:eastAsia="Calibri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dade gerenciadora atualizará o preço registrado, de acordo com a realidade dos valores praticados pelo mercado.</w:t>
      </w:r>
    </w:p>
    <w:p w14:paraId="21C0CEC3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 xml:space="preserve"> O órgão ou en</w:t>
      </w:r>
      <w:r>
        <w:rPr>
          <w:rFonts w:asciiTheme="minorHAnsi" w:eastAsia="Calibri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dade gerenciadora comunicará aos órgãos e às en</w:t>
      </w:r>
      <w:r>
        <w:rPr>
          <w:rFonts w:asciiTheme="minorHAnsi" w:eastAsia="Calibri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 xml:space="preserve">dades que </w:t>
      </w:r>
      <w:r>
        <w:rPr>
          <w:rFonts w:asciiTheme="minorHAnsi" w:eastAsia="Calibri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verem firmado contratos decorrentes da ata de registro de preços sobre a efe</w:t>
      </w:r>
      <w:r>
        <w:rPr>
          <w:rFonts w:asciiTheme="minorHAnsi" w:eastAsia="Calibri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va alteração do preço registrado, para que avaliem a necessidade de alteração contratual, observado o disposto no art. 124 da Lei nº 14.133, de 2021.</w:t>
      </w:r>
    </w:p>
    <w:p w14:paraId="7CC8E59A" w14:textId="77777777" w:rsidR="00DB59D9" w:rsidRDefault="00000000">
      <w:pPr>
        <w:pStyle w:val="Nivel01"/>
        <w:numPr>
          <w:ilvl w:val="0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REMANEJAMENTO DAS QUANTIDADES REGISTRADAS NA ATA DE REGISTRO DE PREÇOS</w:t>
      </w:r>
    </w:p>
    <w:p w14:paraId="421D522F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 xml:space="preserve"> As quan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dades previstas para os itens com preços registrados nas atas de registro de preços poderão ser remanejadas pelo órgão ou en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dade gerenciadora entre os órgãos ou as en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dades par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cipantes e não par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cipantes do registro de preços.</w:t>
      </w:r>
    </w:p>
    <w:p w14:paraId="79E6BE0C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 O remanejamento somente poderá ser feito:</w:t>
      </w:r>
    </w:p>
    <w:p w14:paraId="2415BE8F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De órgão ou en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dade par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cipante para órgão ou en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dade par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cipante; ou</w:t>
      </w:r>
    </w:p>
    <w:p w14:paraId="713C3283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De órgão ou en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dade par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cipante para órgão ou entidade não participante.</w:t>
      </w:r>
    </w:p>
    <w:p w14:paraId="2D6ABF21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O órgão ou en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dade gerenciadora que tiver es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mado as quan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dades que pretende contratar será considerado participante para efeito do remanejamento.</w:t>
      </w:r>
      <w:bookmarkStart w:id="4" w:name="gerenciador_estimador_é_partic_em_remane"/>
      <w:bookmarkEnd w:id="4"/>
    </w:p>
    <w:p w14:paraId="7333326C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Na hipótese de remanejamento de órgão ou entidade par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cipante para órgão ou entidade não participante, serão observados os limites previstos no art. 32 do Decreto nº 11.462, de 2023.</w:t>
      </w:r>
    </w:p>
    <w:p w14:paraId="0E22467C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Competirá ao órgão ou à en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dade gerenciadora autorizar o remanejamento solicitado, com a redução do quan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ta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vo inicialmente informado pelo órgão ou pela en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dade par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cipante, desde que haja prévia anuência do órgão ou da en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dade que sofrer redução dos quantitativos informados.</w:t>
      </w:r>
    </w:p>
    <w:p w14:paraId="53F6B03A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Caso o remanejamento seja feito entre órgãos ou en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dades dos Estados, do Distrito Federal ou de Municípios dis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ntos, caberá ao fornecedor beneficiário da ata de registro de preços, observadas as condições nela estabelecidas, optar pela aceitação ou não do fornecimento decorrente do remanejamento dos itens.</w:t>
      </w:r>
    </w:p>
    <w:p w14:paraId="39D38F37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Na hipótese da compra centralizada, não havendo indicação pelo órgão ou pela en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dade gerenciadora, dos quan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ta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vos dos par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 xml:space="preserve">cipantes da compra centralizada, nos termos do item </w:t>
      </w:r>
      <w:r>
        <w:rPr>
          <w:rFonts w:ascii="Calibri" w:hAnsi="Calibri" w:cs="Calibri"/>
          <w:sz w:val="24"/>
          <w:szCs w:val="24"/>
        </w:rPr>
        <w:fldChar w:fldCharType="begin"/>
      </w:r>
      <w:r>
        <w:rPr>
          <w:rFonts w:ascii="Calibri" w:hAnsi="Calibri" w:cs="Calibri"/>
          <w:sz w:val="24"/>
          <w:szCs w:val="24"/>
        </w:rPr>
        <w:instrText xml:space="preserve"> REF gerenciador_estimador_é_partic_em_remane \r \h </w:instrText>
      </w:r>
      <w:r>
        <w:rPr>
          <w:rFonts w:ascii="Calibri" w:hAnsi="Calibri" w:cs="Calibri"/>
          <w:sz w:val="24"/>
          <w:szCs w:val="24"/>
        </w:rPr>
      </w:r>
      <w:r>
        <w:rPr>
          <w:rFonts w:ascii="Calibri" w:hAnsi="Calibri" w:cs="Calibri"/>
          <w:sz w:val="24"/>
          <w:szCs w:val="24"/>
        </w:rPr>
        <w:fldChar w:fldCharType="separate"/>
      </w:r>
      <w:r>
        <w:rPr>
          <w:rFonts w:ascii="Calibri" w:hAnsi="Calibri" w:cs="Calibri"/>
          <w:sz w:val="24"/>
          <w:szCs w:val="24"/>
        </w:rPr>
        <w:t>8.3.</w:t>
      </w:r>
      <w:r>
        <w:rPr>
          <w:rFonts w:ascii="Calibri" w:hAnsi="Calibri" w:cs="Calibri"/>
          <w:sz w:val="24"/>
          <w:szCs w:val="24"/>
        </w:rPr>
        <w:fldChar w:fldCharType="end"/>
      </w:r>
      <w:r>
        <w:rPr>
          <w:rFonts w:asciiTheme="minorHAnsi" w:hAnsiTheme="minorHAnsi" w:cstheme="minorHAnsi"/>
          <w:sz w:val="24"/>
          <w:szCs w:val="24"/>
        </w:rPr>
        <w:t>, a distribuição das quantidades para a execução descentralizada será por meio do remanejamento.</w:t>
      </w:r>
    </w:p>
    <w:p w14:paraId="042A0B46" w14:textId="77777777" w:rsidR="00DB59D9" w:rsidRDefault="00000000">
      <w:pPr>
        <w:pStyle w:val="Nivel01"/>
        <w:numPr>
          <w:ilvl w:val="0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lastRenderedPageBreak/>
        <w:t>CANCELAMENTO DO REGISTRO DO LICITANTE VENCEDOR E DOS PREÇOS REGISTRADOS</w:t>
      </w:r>
      <w:bookmarkStart w:id="5" w:name="cancelamento"/>
      <w:bookmarkEnd w:id="5"/>
    </w:p>
    <w:p w14:paraId="5BFF2B2F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O registro do fornecedor será cancelado pelo gerenciador, quando o fornecedor:</w:t>
      </w:r>
      <w:bookmarkStart w:id="6" w:name="cancelamento_do_fornecedor"/>
      <w:bookmarkEnd w:id="6"/>
    </w:p>
    <w:p w14:paraId="67289119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Descumprir as condições da ata de registro de preços, sem motivo justificado;</w:t>
      </w:r>
    </w:p>
    <w:p w14:paraId="1A5362EC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Não re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rar a nota de empenho, ou instrumento equivalente, no prazo estabelecido pela Administração sem justificativa razoável;</w:t>
      </w:r>
    </w:p>
    <w:p w14:paraId="0C06AE5C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Não aceitar manter seu preço registrado, na hipótese prevista no artigo 27, § 2º, do Decreto nº 11.462, de 2023; ou</w:t>
      </w:r>
    </w:p>
    <w:p w14:paraId="775BC2DB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 Sofrer sanção prevista nos incisos III ou IV do caput do art. 156 da Lei nº 14.133, de 2021.</w:t>
      </w:r>
    </w:p>
    <w:p w14:paraId="164F37AF" w14:textId="77777777" w:rsidR="00DB59D9" w:rsidRDefault="00000000">
      <w:pPr>
        <w:pStyle w:val="Nvel4"/>
        <w:numPr>
          <w:ilvl w:val="3"/>
          <w:numId w:val="1"/>
        </w:numPr>
        <w:ind w:left="567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Na hipótese de aplicação de sanção prevista nos incisos III ou IV do caput do art. 156 da Lei nº 14.133, de 2021, caso a penalidade aplicada ao fornecedor não ultrapasse o prazo de vigência da ata de registro de preços, poderá o órgão ou a entidade gerenciadora poderá, mediante decisão fundamentada, decidir pela manutenção do registro de preços, vedadas contratações derivadas da ata enquanto perdurarem os efeitos da sanção.</w:t>
      </w:r>
    </w:p>
    <w:p w14:paraId="7817EC3E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 xml:space="preserve"> O cancelamento de registros nas hipóteses previstas no item </w:t>
      </w:r>
      <w:r>
        <w:rPr>
          <w:rFonts w:ascii="Calibri" w:hAnsi="Calibri" w:cs="Calibri"/>
          <w:sz w:val="24"/>
          <w:szCs w:val="24"/>
        </w:rPr>
        <w:fldChar w:fldCharType="begin"/>
      </w:r>
      <w:r>
        <w:rPr>
          <w:rFonts w:ascii="Calibri" w:hAnsi="Calibri" w:cs="Calibri"/>
          <w:sz w:val="24"/>
          <w:szCs w:val="24"/>
        </w:rPr>
        <w:instrText xml:space="preserve"> REF cancelamento_do_fornecedor \r \h </w:instrText>
      </w:r>
      <w:r>
        <w:rPr>
          <w:rFonts w:ascii="Calibri" w:hAnsi="Calibri" w:cs="Calibri"/>
          <w:sz w:val="24"/>
          <w:szCs w:val="24"/>
        </w:rPr>
      </w:r>
      <w:r>
        <w:rPr>
          <w:rFonts w:ascii="Calibri" w:hAnsi="Calibri" w:cs="Calibri"/>
          <w:sz w:val="24"/>
          <w:szCs w:val="24"/>
        </w:rPr>
        <w:fldChar w:fldCharType="separate"/>
      </w:r>
      <w:r>
        <w:rPr>
          <w:rFonts w:ascii="Calibri" w:hAnsi="Calibri" w:cs="Calibri"/>
          <w:sz w:val="24"/>
          <w:szCs w:val="24"/>
        </w:rPr>
        <w:t>9.1.</w:t>
      </w:r>
      <w:r>
        <w:rPr>
          <w:rFonts w:ascii="Calibri" w:hAnsi="Calibri" w:cs="Calibri"/>
          <w:sz w:val="24"/>
          <w:szCs w:val="24"/>
        </w:rPr>
        <w:fldChar w:fldCharType="end"/>
      </w:r>
      <w:r>
        <w:rPr>
          <w:rFonts w:asciiTheme="minorHAnsi" w:hAnsiTheme="minorHAnsi" w:cstheme="minorHAnsi"/>
          <w:sz w:val="24"/>
          <w:szCs w:val="24"/>
        </w:rPr>
        <w:t xml:space="preserve"> será formalizado por despacho do órgão ou da entidade gerenciadora, garantidos os princípios do contraditório e da ampla defesa.</w:t>
      </w:r>
    </w:p>
    <w:p w14:paraId="48CF0527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Na hipótese de cancelamento do registro do fornecedor, o órgão ou a entidade gerenciadora poderá convocar os licitantes que compõem o cadastro de reserva, observada a ordem de classificação.</w:t>
      </w:r>
    </w:p>
    <w:p w14:paraId="4905821C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O cancelamento dos preços registrados poderá ser realizado pelo gerenciador, em determinada ata de registro de preços, total ou parcialmente, nas seguintes hipóteses, desde que devidamente comprovadas e justificadas:</w:t>
      </w:r>
      <w:bookmarkStart w:id="7" w:name="cancelamento_da_ata"/>
      <w:bookmarkEnd w:id="7"/>
      <w:r>
        <w:rPr>
          <w:rFonts w:asciiTheme="minorHAnsi" w:hAnsiTheme="minorHAnsi" w:cstheme="minorHAnsi"/>
          <w:sz w:val="24"/>
          <w:szCs w:val="24"/>
        </w:rPr>
        <w:t xml:space="preserve"> </w:t>
      </w:r>
    </w:p>
    <w:p w14:paraId="735D36F3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Por razão de interesse público;</w:t>
      </w:r>
    </w:p>
    <w:p w14:paraId="5A11ECC1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A pedido do fornecedor, decorrente de caso fortuito ou força maior; ou</w:t>
      </w:r>
    </w:p>
    <w:p w14:paraId="7CB49847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Se não houver êxito nas negociações, nas hipóteses em que o preço de mercado tornar-se superior ou inferior ao preço registrado, nos termos do artigos 26, § 3º </w:t>
      </w:r>
      <w:proofErr w:type="gramStart"/>
      <w:r>
        <w:rPr>
          <w:rFonts w:asciiTheme="minorHAnsi" w:hAnsiTheme="minorHAnsi" w:cstheme="minorHAnsi"/>
          <w:sz w:val="24"/>
          <w:szCs w:val="24"/>
        </w:rPr>
        <w:t>e  27</w:t>
      </w:r>
      <w:proofErr w:type="gramEnd"/>
      <w:r>
        <w:rPr>
          <w:rFonts w:asciiTheme="minorHAnsi" w:hAnsiTheme="minorHAnsi" w:cstheme="minorHAnsi"/>
          <w:sz w:val="24"/>
          <w:szCs w:val="24"/>
        </w:rPr>
        <w:t xml:space="preserve">, § 4º, ambos do Decreto nº 11.462, de 2023. </w:t>
      </w:r>
    </w:p>
    <w:p w14:paraId="3742D8C6" w14:textId="77777777" w:rsidR="00DB59D9" w:rsidRDefault="00000000">
      <w:pPr>
        <w:pStyle w:val="Nivel01"/>
        <w:numPr>
          <w:ilvl w:val="0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DAS PENALIDADES</w:t>
      </w:r>
    </w:p>
    <w:p w14:paraId="1A82FCDF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O de</w:t>
      </w:r>
      <w:r>
        <w:rPr>
          <w:rFonts w:asciiTheme="minorHAnsi" w:hAnsiTheme="minorHAnsi" w:cstheme="minorHAnsi"/>
          <w:color w:val="000000"/>
          <w:sz w:val="24"/>
          <w:szCs w:val="24"/>
        </w:rPr>
        <w:t>scumprimento da Ata de Registro de Preços ensejará aplicação das penalidades estabelecidas no edital.</w:t>
      </w:r>
    </w:p>
    <w:p w14:paraId="2E2BC1CB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color w:val="000000"/>
          <w:sz w:val="24"/>
          <w:szCs w:val="24"/>
        </w:rPr>
        <w:t>As sanções t</w:t>
      </w:r>
      <w:r>
        <w:rPr>
          <w:rFonts w:asciiTheme="minorHAnsi" w:hAnsiTheme="minorHAnsi" w:cstheme="minorHAnsi"/>
          <w:sz w:val="24"/>
          <w:szCs w:val="24"/>
        </w:rPr>
        <w:t xml:space="preserve">ambém se aplicam aos integrantes do cadastro de reserva no registro de preços que, convocados, não honrarem o compromisso assumido injustificadamente após terem assinado a ata. </w:t>
      </w:r>
    </w:p>
    <w:p w14:paraId="5FB646DC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lastRenderedPageBreak/>
        <w:t>É da competência do gerenciador a aplicação das penalidades decorrentes do descumprimento do pactuado nesta ata de registro de preço (art. 7º, inc. XIV, do Decreto nº 11.462, de 2023), exceto nas hipóteses em que o descumprimento disser respeito às contratações dos órgãos ou entidade participante, caso no qual caberá ao respectivo órgão participante a aplicação da penalidade (art. 8º, inc. IX, do Decreto nº 11.462, de 2023).</w:t>
      </w:r>
    </w:p>
    <w:p w14:paraId="6EC95603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O órgão ou entidade participante deverá comunicar ao órgão gerenciador qualquer das ocorrências previstas no item 9.1, dada a necessidade de instauração de procedimento para cancelamento do registro do fornecedor.</w:t>
      </w:r>
    </w:p>
    <w:p w14:paraId="3CF5A71A" w14:textId="77777777" w:rsidR="00DB59D9" w:rsidRDefault="00000000">
      <w:pPr>
        <w:pStyle w:val="Nivel01"/>
        <w:numPr>
          <w:ilvl w:val="0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CONDIÇÕES GERAIS</w:t>
      </w:r>
    </w:p>
    <w:p w14:paraId="37186D95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As condições gerais de execução do objeto, tais como os prazos para entrega e recebimento, as obrigações da Administração e do fornecedor registrado, penalidades e demais condições do ajuste, encontram-se definidos no Termo de Referência,</w:t>
      </w:r>
      <w:r>
        <w:rPr>
          <w:rFonts w:asciiTheme="minorHAnsi" w:hAnsiTheme="minorHAnsi" w:cstheme="minorHAnsi"/>
          <w:color w:val="000000"/>
          <w:sz w:val="24"/>
          <w:szCs w:val="24"/>
        </w:rPr>
        <w:t xml:space="preserve"> ANEXO AO EDITAL</w:t>
      </w:r>
      <w:r>
        <w:rPr>
          <w:rFonts w:asciiTheme="minorHAnsi" w:hAnsiTheme="minorHAnsi" w:cstheme="minorHAnsi"/>
          <w:sz w:val="24"/>
          <w:szCs w:val="24"/>
        </w:rPr>
        <w:t>.</w:t>
      </w:r>
    </w:p>
    <w:p w14:paraId="3F30BE80" w14:textId="77777777" w:rsidR="00DB59D9" w:rsidRDefault="00000000">
      <w:pPr>
        <w:pStyle w:val="Nvel2-Red"/>
        <w:numPr>
          <w:ilvl w:val="1"/>
          <w:numId w:val="1"/>
        </w:numPr>
        <w:ind w:left="0" w:firstLine="0"/>
        <w:rPr>
          <w:rFonts w:asciiTheme="minorHAnsi" w:hAnsiTheme="minorHAnsi" w:cstheme="minorHAnsi"/>
          <w:i w:val="0"/>
          <w:iCs w:val="0"/>
          <w:color w:val="000000"/>
          <w:sz w:val="24"/>
          <w:szCs w:val="24"/>
        </w:rPr>
      </w:pPr>
      <w:r>
        <w:rPr>
          <w:rFonts w:asciiTheme="minorHAnsi" w:hAnsiTheme="minorHAnsi" w:cstheme="minorHAnsi"/>
          <w:i w:val="0"/>
          <w:iCs w:val="0"/>
          <w:color w:val="000000"/>
          <w:sz w:val="24"/>
          <w:szCs w:val="24"/>
        </w:rPr>
        <w:t>No caso de adjudicação por preço global de grupo de itens, só será admitida a contratação de parte de itens do grupo se houver prévia pesquisa de mercado e demonstração de sua vantagem para o órgão ou a entidade.</w:t>
      </w:r>
    </w:p>
    <w:p w14:paraId="4C091861" w14:textId="77777777" w:rsidR="00DB59D9" w:rsidRDefault="00000000">
      <w:pPr>
        <w:rPr>
          <w:rFonts w:asciiTheme="minorHAnsi" w:hAnsiTheme="minorHAnsi" w:cstheme="minorHAnsi"/>
        </w:rPr>
      </w:pPr>
      <w:r>
        <w:br w:type="page"/>
      </w:r>
    </w:p>
    <w:p w14:paraId="13F91FF3" w14:textId="77777777" w:rsidR="00DB59D9" w:rsidRDefault="00000000">
      <w:pPr>
        <w:widowControl w:val="0"/>
        <w:spacing w:after="120" w:line="276" w:lineRule="auto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lastRenderedPageBreak/>
        <w:t>Para firmeza e validade do pactuado, a presente Ata depois de lida e achada em ordem, vai assinada eletronicamente pelas partes</w:t>
      </w:r>
      <w:r>
        <w:rPr>
          <w:rFonts w:asciiTheme="minorHAnsi" w:hAnsiTheme="minorHAnsi" w:cstheme="minorHAnsi"/>
          <w:color w:val="000000"/>
        </w:rPr>
        <w:t xml:space="preserve"> e encaminhada cópia aos demais órgãos participantes (se houver). </w:t>
      </w:r>
    </w:p>
    <w:p w14:paraId="574B7788" w14:textId="77777777" w:rsidR="00DB59D9" w:rsidRDefault="00000000">
      <w:pPr>
        <w:jc w:val="right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 xml:space="preserve">Brasília-DF, na data da assinatura.</w:t>
      </w:r>
    </w:p>
    <w:p w14:paraId="05357679" w14:textId="77777777" w:rsidR="00DB59D9" w:rsidRDefault="00DB59D9">
      <w:pPr>
        <w:jc w:val="right"/>
        <w:rPr>
          <w:rFonts w:asciiTheme="minorHAnsi" w:hAnsiTheme="minorHAnsi" w:cstheme="minorHAnsi"/>
        </w:rPr>
      </w:pPr>
    </w:p>
    <w:p w14:paraId="6F0EC02B" w14:textId="77777777" w:rsidR="00DB59D9" w:rsidRDefault="00DB59D9">
      <w:pPr>
        <w:jc w:val="center"/>
        <w:rPr>
          <w:rFonts w:asciiTheme="minorHAnsi" w:hAnsiTheme="minorHAnsi" w:cstheme="minorHAnsi"/>
        </w:rPr>
      </w:pPr>
    </w:p>
    <w:p w14:paraId="23EF2503" w14:textId="77777777" w:rsidR="00DB59D9" w:rsidRDefault="00DB59D9">
      <w:pPr>
        <w:jc w:val="center"/>
        <w:rPr>
          <w:rFonts w:asciiTheme="minorHAnsi" w:hAnsiTheme="minorHAnsi" w:cstheme="minorHAnsi"/>
        </w:rPr>
      </w:pPr>
    </w:p>
    <w:p w14:paraId="286BB371" w14:textId="77777777" w:rsidR="00DB59D9" w:rsidRDefault="00DB59D9">
      <w:pPr>
        <w:jc w:val="center"/>
        <w:rPr>
          <w:rFonts w:asciiTheme="minorHAnsi" w:hAnsiTheme="minorHAnsi" w:cstheme="minorHAnsi"/>
          <w:color w:val="FF0000"/>
        </w:rPr>
      </w:pPr>
    </w:p>
    <w:tbl>
      <w:tblPr>
        <w:tblW w:w="9075" w:type="dxa"/>
        <w:tblInd w:w="4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543"/>
        <w:gridCol w:w="4532"/>
      </w:tblGrid>
      <w:tr w:rsidR="00DB59D9" w14:paraId="2DF6DEDD" w14:textId="77777777">
        <w:tc>
          <w:tcPr>
            <w:tcW w:w="4542" w:type="dxa"/>
          </w:tcPr>
          <w:p w14:paraId="46CFB73D" w14:textId="77777777" w:rsidR="00DB59D9" w:rsidRDefault="00000000">
            <w:pPr>
              <w:rPr>
                <w:rFonts w:asciiTheme="minorHAnsi" w:hAnsiTheme="minorHAnsi" w:cstheme="minorHAnsi"/>
                <w:color w:val="000000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</w:rPr>
              <w:t>Pelo Contratante</w:t>
            </w:r>
            <w:r>
              <w:rPr>
                <w:rFonts w:asciiTheme="minorHAnsi" w:hAnsiTheme="minorHAnsi" w:cstheme="minorHAnsi"/>
                <w:color w:val="000000"/>
              </w:rPr>
              <w:t>:</w:t>
            </w:r>
          </w:p>
          <w:p w14:paraId="29B57A0D" w14:textId="77777777" w:rsidR="00DB59D9" w:rsidRDefault="00DB59D9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  <w:p w14:paraId="321804DD" w14:textId="77777777" w:rsidR="00DB59D9" w:rsidRDefault="00DB59D9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  <w:p w14:paraId="5E7F5857" w14:textId="77777777" w:rsidR="00DB59D9" w:rsidRDefault="00DB59D9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4532" w:type="dxa"/>
          </w:tcPr>
          <w:p w14:paraId="566CFB70" w14:textId="77777777" w:rsidR="00DB59D9" w:rsidRDefault="00000000">
            <w:pPr>
              <w:rPr>
                <w:rFonts w:asciiTheme="minorHAnsi" w:hAnsiTheme="minorHAnsi" w:cstheme="minorHAnsi"/>
                <w:b/>
                <w:bCs/>
                <w:color w:val="000000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</w:rPr>
              <w:t>Pela Contratada:</w:t>
            </w:r>
          </w:p>
        </w:tc>
      </w:tr>
      <w:tr w:rsidR="00DB59D9" w14:paraId="63DF1A29" w14:textId="77777777">
        <w:tc>
          <w:tcPr>
            <w:tcW w:w="4542" w:type="dxa"/>
          </w:tcPr>
          <w:p w14:paraId="72D0A2B1" w14:textId="77777777" w:rsidR="00DB59D9" w:rsidRDefault="00000000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  <w:r>
              <w:rPr>
                <w:rFonts w:asciiTheme="minorHAnsi" w:hAnsiTheme="minorHAnsi" w:cstheme="minorHAnsi"/>
                <w:color w:val="000000"/>
              </w:rPr>
              <w:t xml:space="preserve">BRUNO MOREIRA</w:t>
              <w:br/>
              <w:t xml:space="preserve">Capitão de Fragata (IM)</w:t>
              <w:br/>
              <w:t xml:space="preserve">Ordenador de Despesa</w:t>
            </w:r>
          </w:p>
          <w:p w14:paraId="48FE5B68" w14:textId="77777777" w:rsidR="00DB59D9" w:rsidRDefault="00000000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  <w:r>
              <w:rPr>
                <w:rFonts w:asciiTheme="minorHAnsi" w:hAnsiTheme="minorHAnsi" w:cstheme="minorHAnsi"/>
                <w:color w:val="000000"/>
              </w:rPr>
              <w:t>Capitão de Fragata (IM)</w:t>
            </w:r>
          </w:p>
          <w:p w14:paraId="61058F67" w14:textId="77777777" w:rsidR="00DB59D9" w:rsidRDefault="00000000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  <w:r>
              <w:rPr>
                <w:rFonts w:asciiTheme="minorHAnsi" w:hAnsiTheme="minorHAnsi" w:cstheme="minorHAnsi"/>
                <w:color w:val="000000"/>
              </w:rPr>
              <w:t>Ordenador de Despesa</w:t>
            </w:r>
          </w:p>
          <w:p w14:paraId="2D5B4E77" w14:textId="77777777" w:rsidR="00DB59D9" w:rsidRDefault="00000000">
            <w:pPr>
              <w:jc w:val="center"/>
              <w:rPr>
                <w:rFonts w:asciiTheme="minorHAnsi" w:eastAsia="Arial" w:hAnsiTheme="minorHAnsi" w:cstheme="minorHAnsi"/>
                <w:color w:val="000000"/>
                <w:bdr w:val="single" w:sz="2" w:space="1" w:color="000000"/>
              </w:rPr>
            </w:pPr>
            <w:r>
              <w:rPr>
                <w:rFonts w:asciiTheme="minorHAnsi" w:eastAsia="Arial" w:hAnsiTheme="minorHAnsi" w:cstheme="minorHAnsi"/>
                <w:color w:val="000000"/>
                <w:bdr w:val="single" w:sz="2" w:space="1" w:color="000000"/>
              </w:rPr>
              <w:t>ASSINADO DIGITALMENTE</w:t>
            </w:r>
          </w:p>
        </w:tc>
        <w:tc>
          <w:tcPr>
            <w:tcW w:w="4532" w:type="dxa"/>
          </w:tcPr>
          <w:p w14:paraId="22DE0239" w14:textId="77777777" w:rsidR="00DB59D9" w:rsidRDefault="00000000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  <w:r>
              <w:rPr>
                <w:rFonts w:asciiTheme="minorHAnsi" w:hAnsiTheme="minorHAnsi" w:cstheme="minorHAnsi"/>
              </w:rPr>
              <w:t xml:space="preserve"/>
            </w:r>
          </w:p>
          <w:p w14:paraId="3A081A20" w14:textId="77777777" w:rsidR="00DB59D9" w:rsidRDefault="00000000">
            <w:pPr>
              <w:jc w:val="center"/>
              <w:rPr>
                <w:rFonts w:asciiTheme="minorHAnsi" w:eastAsia="Arial" w:hAnsiTheme="minorHAnsi" w:cstheme="minorHAnsi"/>
                <w:color w:val="000000"/>
                <w:bdr w:val="single" w:sz="2" w:space="1" w:color="000000"/>
              </w:rPr>
            </w:pPr>
            <w:r>
              <w:rPr>
                <w:rFonts w:asciiTheme="minorHAnsi" w:eastAsia="Arial" w:hAnsiTheme="minorHAnsi" w:cstheme="minorHAnsi"/>
                <w:color w:val="000000"/>
                <w:bdr w:val="single" w:sz="2" w:space="1" w:color="000000"/>
              </w:rPr>
              <w:t>ASSINADO DIGITALMENTE</w:t>
            </w:r>
          </w:p>
        </w:tc>
      </w:tr>
      <w:tr w:rsidR="00DB59D9" w14:paraId="34CB136D" w14:textId="77777777">
        <w:tc>
          <w:tcPr>
            <w:tcW w:w="4542" w:type="dxa"/>
          </w:tcPr>
          <w:p w14:paraId="00FB7D40" w14:textId="77777777" w:rsidR="00DB59D9" w:rsidRDefault="00DB59D9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  <w:p w14:paraId="4B00B85F" w14:textId="77777777" w:rsidR="00DB59D9" w:rsidRDefault="00DB59D9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  <w:p w14:paraId="75ADF039" w14:textId="77777777" w:rsidR="00DB59D9" w:rsidRDefault="00DB59D9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  <w:p w14:paraId="2CE5AC99" w14:textId="77777777" w:rsidR="00DB59D9" w:rsidRDefault="00DB59D9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  <w:p w14:paraId="021B4706" w14:textId="77777777" w:rsidR="00DB59D9" w:rsidRDefault="00DB59D9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4532" w:type="dxa"/>
          </w:tcPr>
          <w:p w14:paraId="6B8051B2" w14:textId="77777777" w:rsidR="00DB59D9" w:rsidRDefault="00DB59D9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</w:tc>
      </w:tr>
      <w:tr w:rsidR="00DB59D9" w14:paraId="4874D563" w14:textId="77777777">
        <w:tc>
          <w:tcPr>
            <w:tcW w:w="4542" w:type="dxa"/>
          </w:tcPr>
          <w:p w14:paraId="6DB50D71" w14:textId="77777777" w:rsidR="00DB59D9" w:rsidRDefault="00000000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  <w:r>
              <w:rPr>
                <w:rFonts w:asciiTheme="minorHAnsi" w:hAnsiTheme="minorHAnsi" w:cstheme="minorHAnsi"/>
                <w:color w:val="000000"/>
              </w:rPr>
              <w:t>Testemunha</w:t>
            </w:r>
          </w:p>
          <w:p w14:paraId="55D1A7E1" w14:textId="77777777" w:rsidR="00DB59D9" w:rsidRDefault="00000000">
            <w:pPr>
              <w:jc w:val="center"/>
              <w:rPr>
                <w:rFonts w:asciiTheme="minorHAnsi" w:eastAsia="Arial" w:hAnsiTheme="minorHAnsi" w:cstheme="minorHAnsi"/>
                <w:color w:val="000000"/>
                <w:bdr w:val="single" w:sz="2" w:space="1" w:color="000000"/>
              </w:rPr>
            </w:pPr>
            <w:r>
              <w:rPr>
                <w:rFonts w:asciiTheme="minorHAnsi" w:eastAsia="Arial" w:hAnsiTheme="minorHAnsi" w:cstheme="minorHAnsi"/>
                <w:color w:val="000000"/>
                <w:bdr w:val="single" w:sz="2" w:space="1" w:color="000000"/>
              </w:rPr>
              <w:t>ASSINADO DIGITALMENTE</w:t>
            </w:r>
          </w:p>
        </w:tc>
        <w:tc>
          <w:tcPr>
            <w:tcW w:w="4532" w:type="dxa"/>
          </w:tcPr>
          <w:p w14:paraId="67223814" w14:textId="77777777" w:rsidR="00DB59D9" w:rsidRDefault="00DB59D9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  <w:p w14:paraId="26CE5333" w14:textId="77777777" w:rsidR="00DB59D9" w:rsidRDefault="00DB59D9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  <w:p w14:paraId="545A8FA3" w14:textId="77777777" w:rsidR="00DB59D9" w:rsidRDefault="00DB59D9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  <w:p w14:paraId="31453E53" w14:textId="77777777" w:rsidR="00DB59D9" w:rsidRDefault="00DB59D9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</w:tc>
      </w:tr>
    </w:tbl>
    <w:p w14:paraId="452B0BA2" w14:textId="77777777" w:rsidR="00DB59D9" w:rsidRDefault="00DB59D9">
      <w:pPr>
        <w:jc w:val="center"/>
        <w:rPr>
          <w:rFonts w:asciiTheme="minorHAnsi" w:hAnsiTheme="minorHAnsi" w:cstheme="minorHAnsi"/>
          <w:color w:val="FF0000"/>
        </w:rPr>
      </w:pPr>
    </w:p>
    <w:p w14:paraId="1F6A296F" w14:textId="77777777" w:rsidR="00DB59D9" w:rsidRDefault="00DB59D9">
      <w:pPr>
        <w:widowControl w:val="0"/>
        <w:spacing w:line="276" w:lineRule="auto"/>
        <w:jc w:val="center"/>
        <w:rPr>
          <w:rFonts w:asciiTheme="minorHAnsi" w:hAnsiTheme="minorHAnsi" w:cstheme="minorHAnsi"/>
          <w:color w:val="000000"/>
        </w:rPr>
      </w:pPr>
    </w:p>
    <w:p w14:paraId="46C44A29" w14:textId="77777777" w:rsidR="00DB59D9" w:rsidRDefault="00DB59D9">
      <w:pPr>
        <w:widowControl w:val="0"/>
        <w:spacing w:line="276" w:lineRule="auto"/>
        <w:ind w:right="-30"/>
        <w:jc w:val="center"/>
      </w:pPr>
    </w:p>
    <w:sectPr w:rsidR="00DB59D9">
      <w:footerReference w:type="default" r:id="rId9"/>
      <w:pgSz w:w="11906" w:h="16838"/>
      <w:pgMar w:top="1134" w:right="850" w:bottom="1844" w:left="1134" w:header="0" w:footer="1134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8ACB61C" w14:textId="77777777" w:rsidR="0018497C" w:rsidRDefault="0018497C">
      <w:r>
        <w:separator/>
      </w:r>
    </w:p>
  </w:endnote>
  <w:endnote w:type="continuationSeparator" w:id="0">
    <w:p w14:paraId="0912CC63" w14:textId="77777777" w:rsidR="0018497C" w:rsidRDefault="001849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Ecofont_Spranq_eco_Sans">
    <w:altName w:val="Cambria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AE0B0F3" w14:textId="77777777" w:rsidR="00DB59D9" w:rsidRDefault="00000000">
    <w:pPr>
      <w:pStyle w:val="Rodap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____________________________________________________________________</w:t>
    </w:r>
  </w:p>
  <w:p w14:paraId="08F132EC" w14:textId="77777777" w:rsidR="00DB59D9" w:rsidRDefault="00000000">
    <w:pPr>
      <w:pStyle w:val="Rodap"/>
      <w:rPr>
        <w:rFonts w:ascii="Arial" w:hAnsi="Arial" w:cs="Arial"/>
        <w:sz w:val="12"/>
        <w:szCs w:val="12"/>
      </w:rPr>
    </w:pPr>
    <w:r>
      <w:rPr>
        <w:rFonts w:ascii="Arial" w:hAnsi="Arial" w:cs="Arial"/>
        <w:sz w:val="12"/>
        <w:szCs w:val="12"/>
      </w:rPr>
      <w:t>Câmara Nacional de Modelos de Licitações e Contratos da Consultoria-Geral da União</w:t>
    </w:r>
  </w:p>
  <w:p w14:paraId="283B36A4" w14:textId="77777777" w:rsidR="00DB59D9" w:rsidRDefault="00000000">
    <w:pPr>
      <w:pStyle w:val="Rodap"/>
      <w:rPr>
        <w:rFonts w:ascii="Arial" w:hAnsi="Arial" w:cs="Arial"/>
        <w:sz w:val="12"/>
        <w:szCs w:val="12"/>
      </w:rPr>
    </w:pPr>
    <w:r>
      <w:rPr>
        <w:rFonts w:ascii="Arial" w:hAnsi="Arial" w:cs="Arial"/>
        <w:sz w:val="12"/>
        <w:szCs w:val="12"/>
      </w:rPr>
      <w:t>Atualização: maio/2023</w:t>
    </w:r>
  </w:p>
  <w:p w14:paraId="02AC002F" w14:textId="77777777" w:rsidR="00DB59D9" w:rsidRDefault="00000000">
    <w:pPr>
      <w:pStyle w:val="Rodap"/>
      <w:rPr>
        <w:rFonts w:ascii="Arial" w:hAnsi="Arial" w:cs="Arial"/>
        <w:sz w:val="12"/>
        <w:szCs w:val="12"/>
      </w:rPr>
    </w:pPr>
    <w:r>
      <w:rPr>
        <w:rFonts w:ascii="Arial" w:hAnsi="Arial" w:cs="Arial"/>
        <w:sz w:val="12"/>
        <w:szCs w:val="12"/>
      </w:rPr>
      <w:t xml:space="preserve">Ata de Registro de Preços </w:t>
    </w:r>
    <w:proofErr w:type="gramStart"/>
    <w:r>
      <w:rPr>
        <w:rFonts w:ascii="Arial" w:hAnsi="Arial" w:cs="Arial"/>
        <w:sz w:val="12"/>
        <w:szCs w:val="12"/>
      </w:rPr>
      <w:t>–  Lei</w:t>
    </w:r>
    <w:proofErr w:type="gramEnd"/>
    <w:r>
      <w:rPr>
        <w:rFonts w:ascii="Arial" w:hAnsi="Arial" w:cs="Arial"/>
        <w:sz w:val="12"/>
        <w:szCs w:val="12"/>
      </w:rPr>
      <w:t xml:space="preserve"> nº 14.133, de 2021.</w:t>
    </w:r>
  </w:p>
  <w:p w14:paraId="1B8FACF2" w14:textId="77777777" w:rsidR="00DB59D9" w:rsidRDefault="00000000">
    <w:pPr>
      <w:pStyle w:val="Rodap"/>
      <w:rPr>
        <w:rFonts w:ascii="Arial" w:hAnsi="Arial" w:cs="Arial"/>
        <w:sz w:val="12"/>
        <w:szCs w:val="12"/>
      </w:rPr>
    </w:pPr>
    <w:r>
      <w:rPr>
        <w:rFonts w:ascii="Arial" w:hAnsi="Arial" w:cs="Arial"/>
        <w:sz w:val="12"/>
        <w:szCs w:val="12"/>
      </w:rPr>
      <w:t>Aprovado pela Secretaria de Gestão e Inovação.</w:t>
    </w:r>
  </w:p>
  <w:p w14:paraId="71EA7749" w14:textId="77777777" w:rsidR="00DB59D9" w:rsidRDefault="00000000">
    <w:pPr>
      <w:pStyle w:val="Rodap"/>
      <w:rPr>
        <w:rFonts w:ascii="Arial" w:hAnsi="Arial" w:cs="Arial"/>
        <w:sz w:val="12"/>
        <w:szCs w:val="12"/>
      </w:rPr>
    </w:pPr>
    <w:r>
      <w:rPr>
        <w:rFonts w:ascii="Arial" w:hAnsi="Arial" w:cs="Arial"/>
        <w:sz w:val="12"/>
        <w:szCs w:val="12"/>
      </w:rPr>
      <w:t>Identidade visual pela Secretaria de Gestão e Inovação</w:t>
    </w:r>
  </w:p>
  <w:p w14:paraId="4AEF2547" w14:textId="77777777" w:rsidR="00DB59D9" w:rsidRDefault="00DB59D9">
    <w:pPr>
      <w:pStyle w:val="Rodap"/>
      <w:rPr>
        <w:rFonts w:ascii="Arial" w:hAnsi="Arial" w:cs="Arial"/>
        <w:sz w:val="12"/>
        <w:szCs w:val="1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CF73204" w14:textId="77777777" w:rsidR="0018497C" w:rsidRDefault="0018497C">
      <w:r>
        <w:separator/>
      </w:r>
    </w:p>
  </w:footnote>
  <w:footnote w:type="continuationSeparator" w:id="0">
    <w:p w14:paraId="4DEFAB3F" w14:textId="77777777" w:rsidR="0018497C" w:rsidRDefault="0018497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EBC5C93"/>
    <w:multiLevelType w:val="multilevel"/>
    <w:tmpl w:val="8D5A32C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39842BC1"/>
    <w:multiLevelType w:val="multilevel"/>
    <w:tmpl w:val="67988E12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rFonts w:ascii="Calibri" w:hAnsi="Calibri"/>
        <w:b/>
        <w:color w:val="auto"/>
        <w:sz w:val="24"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1283" w:hanging="432"/>
      </w:pPr>
      <w:rPr>
        <w:rFonts w:ascii="Calibri" w:hAnsi="Calibri"/>
        <w:i w:val="0"/>
        <w:iCs w:val="0"/>
        <w:color w:val="000000"/>
        <w:sz w:val="24"/>
        <w:szCs w:val="24"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497" w:hanging="504"/>
      </w:pPr>
      <w:rPr>
        <w:rFonts w:asciiTheme="minorHAnsi" w:hAnsiTheme="minorHAnsi" w:cstheme="minorHAnsi"/>
        <w:sz w:val="24"/>
        <w:szCs w:val="24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  <w:rPr>
        <w:rFonts w:asciiTheme="minorHAnsi" w:hAnsiTheme="minorHAnsi" w:cstheme="minorHAnsi"/>
        <w:sz w:val="24"/>
        <w:szCs w:val="24"/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num w:numId="1" w16cid:durableId="662584892">
    <w:abstractNumId w:val="1"/>
  </w:num>
  <w:num w:numId="2" w16cid:durableId="3626353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mirrorMargins/>
  <w:proofState w:spelling="clean" w:grammar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59D9"/>
    <w:rsid w:val="00175BE0"/>
    <w:rsid w:val="0018497C"/>
    <w:rsid w:val="00196418"/>
    <w:rsid w:val="00251C60"/>
    <w:rsid w:val="00277E84"/>
    <w:rsid w:val="003F16DF"/>
    <w:rsid w:val="0041477D"/>
    <w:rsid w:val="00483E3A"/>
    <w:rsid w:val="005A0B28"/>
    <w:rsid w:val="00754758"/>
    <w:rsid w:val="00862D01"/>
    <w:rsid w:val="0097672B"/>
    <w:rsid w:val="009B2AA0"/>
    <w:rsid w:val="009C0790"/>
    <w:rsid w:val="00AB0AF9"/>
    <w:rsid w:val="00CE13E2"/>
    <w:rsid w:val="00D2155E"/>
    <w:rsid w:val="00DB59D9"/>
    <w:rsid w:val="00DE4348"/>
    <w:rsid w:val="00DE56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126646"/>
  <w15:docId w15:val="{1C0E79B1-12F6-437D-92CC-79B05BB03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sz w:val="24"/>
        <w:lang w:val="pt-BR" w:eastAsia="pt-BR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Ecofont_Spranq_eco_Sans" w:hAnsi="Ecofont_Spranq_eco_Sans" w:cs="Tahoma"/>
      <w:szCs w:val="24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rFonts w:ascii="Cambria" w:hAnsi="Cambria" w:cs="Times New Roman"/>
      <w:b/>
      <w:bCs/>
      <w:color w:val="365F91"/>
      <w:sz w:val="28"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GradeColorida-nfase1Char">
    <w:name w:val="Grade Colorida - Ênfase 1 Char"/>
    <w:qFormat/>
    <w:rPr>
      <w:rFonts w:ascii="Ecofont_Spranq_eco_Sans" w:eastAsia="Calibri" w:hAnsi="Ecofont_Spranq_eco_Sans" w:cs="Tahoma"/>
      <w:i/>
      <w:iCs/>
      <w:color w:val="000000"/>
      <w:szCs w:val="24"/>
      <w:lang w:val="pt-BR" w:eastAsia="en-US" w:bidi="ar-SA"/>
    </w:rPr>
  </w:style>
  <w:style w:type="character" w:customStyle="1" w:styleId="CorpodetextoChar">
    <w:name w:val="Corpo de texto Char"/>
    <w:qFormat/>
    <w:rPr>
      <w:sz w:val="24"/>
      <w:szCs w:val="24"/>
    </w:rPr>
  </w:style>
  <w:style w:type="character" w:styleId="Hyperlink">
    <w:name w:val="Hyperlink"/>
    <w:basedOn w:val="Fontepargpadro"/>
    <w:uiPriority w:val="99"/>
    <w:semiHidden/>
    <w:unhideWhenUsed/>
    <w:rsid w:val="00050B46"/>
    <w:rPr>
      <w:color w:val="0000FF"/>
      <w:u w:val="single"/>
    </w:rPr>
  </w:style>
  <w:style w:type="character" w:customStyle="1" w:styleId="CabealhoChar">
    <w:name w:val="Cabeçalho Char"/>
    <w:basedOn w:val="Fontepargpadro"/>
    <w:qFormat/>
    <w:rPr>
      <w:rFonts w:ascii="Ecofont_Spranq_eco_Sans" w:hAnsi="Ecofont_Spranq_eco_Sans" w:cs="Tahoma"/>
      <w:sz w:val="24"/>
      <w:szCs w:val="24"/>
    </w:rPr>
  </w:style>
  <w:style w:type="character" w:customStyle="1" w:styleId="RodapChar">
    <w:name w:val="Rodapé Char"/>
    <w:basedOn w:val="Fontepargpadro"/>
    <w:qFormat/>
    <w:rPr>
      <w:rFonts w:ascii="Ecofont_Spranq_eco_Sans" w:hAnsi="Ecofont_Spranq_eco_Sans" w:cs="Tahoma"/>
      <w:sz w:val="24"/>
      <w:szCs w:val="24"/>
    </w:rPr>
  </w:style>
  <w:style w:type="character" w:customStyle="1" w:styleId="citao2Char">
    <w:name w:val="citação 2 Char"/>
    <w:basedOn w:val="CitaoChar"/>
    <w:qFormat/>
    <w:rPr>
      <w:rFonts w:ascii="Ecofont_Spranq_eco_Sans" w:eastAsia="Calibri" w:hAnsi="Ecofont_Spranq_eco_Sans" w:cs="Tahoma"/>
      <w:i/>
      <w:iCs/>
      <w:color w:val="000000"/>
      <w:sz w:val="24"/>
      <w:szCs w:val="24"/>
      <w:shd w:val="clear" w:color="auto" w:fill="FFFFCC"/>
      <w:lang w:eastAsia="en-US"/>
    </w:rPr>
  </w:style>
  <w:style w:type="character" w:customStyle="1" w:styleId="CitaoChar">
    <w:name w:val="Citação Char"/>
    <w:basedOn w:val="Fontepargpadro"/>
    <w:qFormat/>
    <w:rPr>
      <w:rFonts w:ascii="Ecofont_Spranq_eco_Sans" w:hAnsi="Ecofont_Spranq_eco_Sans" w:cs="Tahoma"/>
      <w:i/>
      <w:iCs/>
      <w:color w:val="000000"/>
      <w:sz w:val="24"/>
      <w:szCs w:val="24"/>
    </w:rPr>
  </w:style>
  <w:style w:type="character" w:customStyle="1" w:styleId="Ttulo1Char">
    <w:name w:val="Título 1 Char"/>
    <w:basedOn w:val="Fontepargpadro"/>
    <w:qFormat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Nivel1Char">
    <w:name w:val="Nivel1 Char"/>
    <w:basedOn w:val="Ttulo1Char"/>
    <w:qFormat/>
    <w:rPr>
      <w:rFonts w:ascii="Arial" w:eastAsia="Times New Roman" w:hAnsi="Arial" w:cs="Arial"/>
      <w:b/>
      <w:bCs/>
      <w:color w:val="365F91"/>
      <w:sz w:val="28"/>
      <w:szCs w:val="28"/>
    </w:rPr>
  </w:style>
  <w:style w:type="character" w:styleId="Refdecomentrio">
    <w:name w:val="annotation reference"/>
    <w:basedOn w:val="Fontepargpadro"/>
    <w:qFormat/>
    <w:rPr>
      <w:sz w:val="16"/>
      <w:szCs w:val="16"/>
    </w:rPr>
  </w:style>
  <w:style w:type="character" w:customStyle="1" w:styleId="TextodecomentrioChar">
    <w:name w:val="Texto de comentário Char"/>
    <w:basedOn w:val="Fontepargpadro"/>
    <w:qFormat/>
    <w:rPr>
      <w:rFonts w:ascii="Ecofont_Spranq_eco_Sans" w:hAnsi="Ecofont_Spranq_eco_Sans" w:cs="Tahoma"/>
    </w:rPr>
  </w:style>
  <w:style w:type="character" w:customStyle="1" w:styleId="AssuntodocomentrioChar">
    <w:name w:val="Assunto do comentário Char"/>
    <w:basedOn w:val="TextodecomentrioChar"/>
    <w:qFormat/>
    <w:rPr>
      <w:rFonts w:ascii="Ecofont_Spranq_eco_Sans" w:hAnsi="Ecofont_Spranq_eco_Sans" w:cs="Tahoma"/>
      <w:b/>
      <w:bCs/>
    </w:rPr>
  </w:style>
  <w:style w:type="character" w:customStyle="1" w:styleId="TextodebaloChar">
    <w:name w:val="Texto de balão Char"/>
    <w:basedOn w:val="Fontepargpadro"/>
    <w:qFormat/>
    <w:rPr>
      <w:rFonts w:ascii="Segoe UI" w:hAnsi="Segoe UI" w:cs="Segoe UI"/>
      <w:sz w:val="18"/>
      <w:szCs w:val="18"/>
    </w:rPr>
  </w:style>
  <w:style w:type="character" w:customStyle="1" w:styleId="Nivel01Char">
    <w:name w:val="Nivel 01 Char"/>
    <w:basedOn w:val="Fontepargpadro"/>
    <w:qFormat/>
    <w:rPr>
      <w:rFonts w:ascii="Arial" w:eastAsia="Times New Roman" w:hAnsi="Arial" w:cs="Arial"/>
      <w:b/>
      <w:bCs/>
      <w:lang w:eastAsia="en-US"/>
    </w:rPr>
  </w:style>
  <w:style w:type="character" w:customStyle="1" w:styleId="Nivel2Char">
    <w:name w:val="Nivel 2 Char"/>
    <w:basedOn w:val="Fontepargpadro"/>
    <w:qFormat/>
    <w:rPr>
      <w:rFonts w:ascii="Arial" w:hAnsi="Arial" w:cs="Arial"/>
    </w:rPr>
  </w:style>
  <w:style w:type="character" w:customStyle="1" w:styleId="Nvel2-RedChar">
    <w:name w:val="Nível 2 -Red Char"/>
    <w:basedOn w:val="Nivel2Char"/>
    <w:qFormat/>
    <w:rPr>
      <w:rFonts w:ascii="Arial" w:hAnsi="Arial" w:cs="Arial"/>
      <w:i/>
      <w:iCs/>
      <w:color w:val="FF0000"/>
    </w:rPr>
  </w:style>
  <w:style w:type="character" w:customStyle="1" w:styleId="ouChar">
    <w:name w:val="ou Char"/>
    <w:basedOn w:val="Fontepargpadro"/>
    <w:qFormat/>
    <w:rPr>
      <w:rFonts w:ascii="Arial" w:eastAsia="Calibri" w:hAnsi="Arial" w:cs="Arial"/>
      <w:b/>
      <w:bCs/>
      <w:i/>
      <w:iCs/>
      <w:color w:val="FF0000"/>
      <w:szCs w:val="24"/>
      <w:u w:val="single"/>
    </w:rPr>
  </w:style>
  <w:style w:type="character" w:customStyle="1" w:styleId="Nvel3-RChar">
    <w:name w:val="Nível 3-R Char"/>
    <w:basedOn w:val="Fontepargpadro"/>
    <w:qFormat/>
    <w:rPr>
      <w:rFonts w:ascii="Arial" w:eastAsia="Times New Roman" w:hAnsi="Arial" w:cs="Arial"/>
      <w:i/>
      <w:iCs/>
      <w:color w:val="FF0000"/>
    </w:rPr>
  </w:style>
  <w:style w:type="character" w:customStyle="1" w:styleId="Nvel3Char">
    <w:name w:val="Nível 3 Char"/>
    <w:basedOn w:val="Nvel3-RChar"/>
    <w:qFormat/>
    <w:rPr>
      <w:rFonts w:ascii="Arial" w:eastAsia="Times New Roman" w:hAnsi="Arial" w:cs="Arial"/>
      <w:i w:val="0"/>
      <w:iCs w:val="0"/>
      <w:color w:val="FF0000"/>
    </w:rPr>
  </w:style>
  <w:style w:type="character" w:customStyle="1" w:styleId="Nvel4Char">
    <w:name w:val="Nível 4 Char"/>
    <w:basedOn w:val="Nvel3Char"/>
    <w:qFormat/>
    <w:rPr>
      <w:rFonts w:ascii="Arial" w:eastAsia="Times New Roman" w:hAnsi="Arial" w:cs="Arial"/>
      <w:i w:val="0"/>
      <w:iCs w:val="0"/>
      <w:color w:val="FF0000"/>
    </w:rPr>
  </w:style>
  <w:style w:type="character" w:customStyle="1" w:styleId="SubTitNNChar">
    <w:name w:val="SubTitNN Char"/>
    <w:basedOn w:val="Fontepargpadro"/>
    <w:qFormat/>
    <w:rPr>
      <w:rFonts w:ascii="Arial" w:hAnsi="Arial" w:cs="Arial"/>
      <w:b/>
      <w:bCs/>
      <w:iCs/>
    </w:rPr>
  </w:style>
  <w:style w:type="character" w:customStyle="1" w:styleId="Forte1">
    <w:name w:val="Forte1"/>
    <w:basedOn w:val="Fontepargpadro"/>
    <w:qFormat/>
    <w:rPr>
      <w:b/>
      <w:bCs/>
    </w:rPr>
  </w:style>
  <w:style w:type="character" w:customStyle="1" w:styleId="object">
    <w:name w:val="object"/>
    <w:basedOn w:val="Fontepargpadro"/>
    <w:qFormat/>
    <w:rsid w:val="00050B46"/>
  </w:style>
  <w:style w:type="character" w:customStyle="1" w:styleId="object-hover">
    <w:name w:val="object-hover"/>
    <w:basedOn w:val="Fontepargpadro"/>
    <w:qFormat/>
    <w:rsid w:val="00050B46"/>
  </w:style>
  <w:style w:type="paragraph" w:styleId="Ttulo">
    <w:name w:val="Title"/>
    <w:basedOn w:val="Normal"/>
    <w:next w:val="Corpodetexto"/>
    <w:uiPriority w:val="10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Corpodetexto">
    <w:name w:val="Body Text"/>
    <w:basedOn w:val="Normal"/>
    <w:pPr>
      <w:spacing w:before="280" w:after="280"/>
    </w:pPr>
    <w:rPr>
      <w:rFonts w:ascii="Times New Roman" w:hAnsi="Times New Roman" w:cs="Times New Roman"/>
    </w:rPr>
  </w:style>
  <w:style w:type="paragraph" w:styleId="Lista">
    <w:name w:val="List"/>
    <w:basedOn w:val="Corpodetexto"/>
    <w:rPr>
      <w:rFonts w:cs="Arial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ucida Sans"/>
      <w:i/>
      <w:iCs/>
    </w:rPr>
  </w:style>
  <w:style w:type="paragraph" w:customStyle="1" w:styleId="ndice">
    <w:name w:val="Índice"/>
    <w:basedOn w:val="Normal"/>
    <w:qFormat/>
    <w:pPr>
      <w:suppressLineNumbers/>
    </w:pPr>
    <w:rPr>
      <w:rFonts w:cs="Arial"/>
    </w:rPr>
  </w:style>
  <w:style w:type="paragraph" w:customStyle="1" w:styleId="caption1">
    <w:name w:val="caption1"/>
    <w:basedOn w:val="Normal"/>
    <w:qFormat/>
    <w:pPr>
      <w:suppressLineNumbers/>
      <w:spacing w:before="120" w:after="120"/>
    </w:pPr>
    <w:rPr>
      <w:rFonts w:cs="Arial"/>
      <w:i/>
      <w:iCs/>
    </w:rPr>
  </w:style>
  <w:style w:type="paragraph" w:customStyle="1" w:styleId="GradeColorida-nfase11">
    <w:name w:val="Grade Colorida - Ênfase 11"/>
    <w:basedOn w:val="Normal"/>
    <w:next w:val="Normal"/>
    <w:qFormat/>
    <w:pPr>
      <w:pBdr>
        <w:top w:val="single" w:sz="4" w:space="1" w:color="1F497D"/>
        <w:left w:val="single" w:sz="4" w:space="4" w:color="1F497D"/>
        <w:bottom w:val="single" w:sz="4" w:space="1" w:color="1F497D"/>
        <w:right w:val="single" w:sz="4" w:space="4" w:color="1F497D"/>
      </w:pBdr>
      <w:shd w:val="clear" w:color="auto" w:fill="FFFFCC"/>
      <w:spacing w:before="120"/>
      <w:jc w:val="both"/>
    </w:pPr>
    <w:rPr>
      <w:rFonts w:eastAsia="Calibri"/>
      <w:i/>
      <w:iCs/>
      <w:color w:val="000000"/>
      <w:sz w:val="20"/>
      <w:lang w:eastAsia="en-US"/>
    </w:rPr>
  </w:style>
  <w:style w:type="paragraph" w:styleId="PargrafodaLista">
    <w:name w:val="List Paragraph"/>
    <w:basedOn w:val="Normal"/>
    <w:qFormat/>
    <w:pPr>
      <w:ind w:left="720"/>
      <w:contextualSpacing/>
    </w:pPr>
  </w:style>
  <w:style w:type="paragraph" w:customStyle="1" w:styleId="CabealhoeRodap">
    <w:name w:val="Cabeçalho e Rodapé"/>
    <w:basedOn w:val="Normal"/>
    <w:qFormat/>
  </w:style>
  <w:style w:type="paragraph" w:styleId="Cabealho">
    <w:name w:val="header"/>
    <w:basedOn w:val="Normal"/>
    <w:pPr>
      <w:tabs>
        <w:tab w:val="center" w:pos="4252"/>
        <w:tab w:val="right" w:pos="8504"/>
      </w:tabs>
    </w:pPr>
  </w:style>
  <w:style w:type="paragraph" w:styleId="Rodap">
    <w:name w:val="footer"/>
    <w:basedOn w:val="Normal"/>
    <w:pPr>
      <w:tabs>
        <w:tab w:val="center" w:pos="4252"/>
        <w:tab w:val="right" w:pos="8504"/>
      </w:tabs>
    </w:pPr>
  </w:style>
  <w:style w:type="paragraph" w:customStyle="1" w:styleId="citao2">
    <w:name w:val="citação 2"/>
    <w:basedOn w:val="Citao"/>
    <w:qFormat/>
    <w:pPr>
      <w:pBdr>
        <w:top w:val="single" w:sz="4" w:space="1" w:color="1F497D"/>
        <w:left w:val="single" w:sz="4" w:space="4" w:color="1F497D"/>
        <w:bottom w:val="single" w:sz="4" w:space="1" w:color="1F497D"/>
        <w:right w:val="single" w:sz="4" w:space="4" w:color="1F497D"/>
      </w:pBdr>
      <w:shd w:val="clear" w:color="auto" w:fill="FFFFCC"/>
      <w:spacing w:before="120"/>
      <w:jc w:val="both"/>
    </w:pPr>
    <w:rPr>
      <w:rFonts w:eastAsia="Calibri"/>
      <w:lang w:eastAsia="en-US"/>
    </w:rPr>
  </w:style>
  <w:style w:type="paragraph" w:styleId="Citao">
    <w:name w:val="Quote"/>
    <w:basedOn w:val="Normal"/>
    <w:next w:val="Normal"/>
    <w:qFormat/>
    <w:rPr>
      <w:i/>
      <w:iCs/>
      <w:color w:val="000000"/>
    </w:rPr>
  </w:style>
  <w:style w:type="paragraph" w:customStyle="1" w:styleId="Nivel1">
    <w:name w:val="Nivel1"/>
    <w:basedOn w:val="Ttulo1"/>
    <w:next w:val="Normal"/>
    <w:qFormat/>
    <w:pPr>
      <w:widowControl w:val="0"/>
      <w:spacing w:after="120" w:line="276" w:lineRule="auto"/>
      <w:ind w:left="360" w:hanging="360"/>
      <w:jc w:val="both"/>
      <w:outlineLvl w:val="9"/>
    </w:pPr>
    <w:rPr>
      <w:rFonts w:ascii="Arial" w:hAnsi="Arial" w:cs="Arial"/>
      <w:color w:val="auto"/>
      <w:sz w:val="20"/>
      <w:szCs w:val="20"/>
    </w:rPr>
  </w:style>
  <w:style w:type="paragraph" w:customStyle="1" w:styleId="Nivel01">
    <w:name w:val="Nivel 01"/>
    <w:basedOn w:val="Ttulo1"/>
    <w:next w:val="Normal"/>
    <w:qFormat/>
    <w:pPr>
      <w:tabs>
        <w:tab w:val="left" w:pos="567"/>
      </w:tabs>
      <w:spacing w:before="120" w:after="120" w:line="276" w:lineRule="auto"/>
      <w:jc w:val="both"/>
      <w:outlineLvl w:val="9"/>
    </w:pPr>
    <w:rPr>
      <w:rFonts w:ascii="Arial" w:hAnsi="Arial" w:cs="Arial"/>
      <w:color w:val="auto"/>
      <w:sz w:val="20"/>
      <w:szCs w:val="20"/>
      <w:lang w:eastAsia="en-US"/>
    </w:rPr>
  </w:style>
  <w:style w:type="paragraph" w:styleId="Textodecomentrio">
    <w:name w:val="annotation text"/>
    <w:basedOn w:val="Normal"/>
    <w:qFormat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qFormat/>
    <w:rsid w:val="00607E92"/>
    <w:rPr>
      <w:rFonts w:asciiTheme="minorHAnsi" w:hAnsiTheme="minorHAnsi"/>
      <w:b/>
      <w:bCs/>
      <w:sz w:val="24"/>
    </w:rPr>
  </w:style>
  <w:style w:type="paragraph" w:styleId="Textodebalo">
    <w:name w:val="Balloon Text"/>
    <w:basedOn w:val="Normal"/>
    <w:qFormat/>
    <w:rPr>
      <w:rFonts w:ascii="Segoe UI" w:hAnsi="Segoe UI" w:cs="Segoe UI"/>
      <w:sz w:val="18"/>
      <w:szCs w:val="18"/>
    </w:rPr>
  </w:style>
  <w:style w:type="paragraph" w:styleId="Reviso">
    <w:name w:val="Revision"/>
    <w:qFormat/>
    <w:rPr>
      <w:rFonts w:ascii="Ecofont_Spranq_eco_Sans" w:hAnsi="Ecofont_Spranq_eco_Sans" w:cs="Tahoma"/>
      <w:szCs w:val="24"/>
    </w:rPr>
  </w:style>
  <w:style w:type="paragraph" w:customStyle="1" w:styleId="Nivel2">
    <w:name w:val="Nivel 2"/>
    <w:basedOn w:val="Normal"/>
    <w:qFormat/>
    <w:pPr>
      <w:spacing w:before="120" w:after="120" w:line="276" w:lineRule="auto"/>
      <w:jc w:val="both"/>
    </w:pPr>
    <w:rPr>
      <w:rFonts w:ascii="Arial" w:hAnsi="Arial" w:cs="Arial"/>
      <w:sz w:val="20"/>
      <w:szCs w:val="20"/>
    </w:rPr>
  </w:style>
  <w:style w:type="paragraph" w:customStyle="1" w:styleId="Nvel2-Red">
    <w:name w:val="Nível 2 -Red"/>
    <w:basedOn w:val="Nivel2"/>
    <w:qFormat/>
    <w:rPr>
      <w:i/>
      <w:iCs/>
      <w:color w:val="FF0000"/>
    </w:rPr>
  </w:style>
  <w:style w:type="paragraph" w:customStyle="1" w:styleId="ou">
    <w:name w:val="ou"/>
    <w:basedOn w:val="PargrafodaLista"/>
    <w:qFormat/>
    <w:pPr>
      <w:spacing w:before="60" w:after="60" w:line="259" w:lineRule="auto"/>
      <w:ind w:left="0"/>
      <w:contextualSpacing w:val="0"/>
      <w:jc w:val="center"/>
    </w:pPr>
    <w:rPr>
      <w:rFonts w:ascii="Arial" w:eastAsia="Calibri" w:hAnsi="Arial" w:cs="Arial"/>
      <w:b/>
      <w:bCs/>
      <w:i/>
      <w:iCs/>
      <w:color w:val="FF0000"/>
      <w:sz w:val="20"/>
      <w:u w:val="single"/>
    </w:rPr>
  </w:style>
  <w:style w:type="paragraph" w:customStyle="1" w:styleId="Nvel3-R">
    <w:name w:val="Nível 3-R"/>
    <w:basedOn w:val="Normal"/>
    <w:qFormat/>
    <w:pPr>
      <w:spacing w:before="120" w:after="120" w:line="276" w:lineRule="auto"/>
      <w:ind w:left="284"/>
      <w:jc w:val="both"/>
    </w:pPr>
    <w:rPr>
      <w:rFonts w:ascii="Arial" w:hAnsi="Arial" w:cs="Arial"/>
      <w:i/>
      <w:iCs/>
      <w:color w:val="FF0000"/>
      <w:sz w:val="20"/>
      <w:szCs w:val="20"/>
    </w:rPr>
  </w:style>
  <w:style w:type="paragraph" w:customStyle="1" w:styleId="Nvel3">
    <w:name w:val="Nível 3"/>
    <w:basedOn w:val="Nvel3-R"/>
    <w:qFormat/>
    <w:rPr>
      <w:i w:val="0"/>
      <w:iCs w:val="0"/>
      <w:color w:val="auto"/>
    </w:rPr>
  </w:style>
  <w:style w:type="paragraph" w:customStyle="1" w:styleId="Nvel4">
    <w:name w:val="Nível 4"/>
    <w:basedOn w:val="Nvel3"/>
    <w:qFormat/>
    <w:pPr>
      <w:ind w:left="567"/>
    </w:pPr>
  </w:style>
  <w:style w:type="paragraph" w:customStyle="1" w:styleId="SubTitNN">
    <w:name w:val="SubTitNN"/>
    <w:basedOn w:val="Normal"/>
    <w:qFormat/>
    <w:pPr>
      <w:spacing w:before="240" w:after="120" w:line="276" w:lineRule="auto"/>
      <w:jc w:val="both"/>
    </w:pPr>
    <w:rPr>
      <w:rFonts w:ascii="Arial" w:hAnsi="Arial" w:cs="Arial"/>
      <w:b/>
      <w:bCs/>
      <w:iCs/>
      <w:sz w:val="20"/>
      <w:szCs w:val="20"/>
    </w:rPr>
  </w:style>
  <w:style w:type="paragraph" w:customStyle="1" w:styleId="corpo">
    <w:name w:val="corpo"/>
    <w:basedOn w:val="Normal"/>
    <w:qFormat/>
    <w:pPr>
      <w:widowControl w:val="0"/>
      <w:ind w:firstLine="567"/>
      <w:jc w:val="both"/>
    </w:pPr>
    <w:rPr>
      <w:sz w:val="22"/>
    </w:r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western">
    <w:name w:val="western"/>
    <w:basedOn w:val="Normal"/>
    <w:qFormat/>
    <w:rsid w:val="00050B46"/>
    <w:pPr>
      <w:suppressAutoHyphens w:val="0"/>
      <w:spacing w:beforeAutospacing="1" w:afterAutospacing="1"/>
    </w:pPr>
    <w:rPr>
      <w:rFonts w:ascii="Times New Roman" w:hAnsi="Times New Roman" w:cs="Times New Roman"/>
    </w:rPr>
  </w:style>
  <w:style w:type="table" w:styleId="Tabelacomgrade">
    <w:name w:val="Table Grid"/>
    <w:basedOn w:val="Tabelanormal"/>
    <w:uiPriority w:val="39"/>
    <w:rsid w:val="00E303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9388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918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00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576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459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77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6733B6-C39B-4E97-BF66-039D42CB7E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242</TotalTime>
  <Pages>9</Pages>
  <Words>2611</Words>
  <Characters>14105</Characters>
  <Application>Microsoft Office Word</Application>
  <DocSecurity>0</DocSecurity>
  <Lines>117</Lines>
  <Paragraphs>33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Guilherme K</dc:creator>
  <dc:description/>
  <cp:lastModifiedBy>Guilherme K</cp:lastModifiedBy>
  <cp:revision>54</cp:revision>
  <dcterms:created xsi:type="dcterms:W3CDTF">2023-09-10T00:11:00Z</dcterms:created>
  <dcterms:modified xsi:type="dcterms:W3CDTF">2024-08-20T03:14:00Z</dcterms:modified>
  <dc:language>pt-BR</dc:language>
  <dc:identifier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0x01010012A2765E7DFD38469B2E626874CD0041</vt:lpwstr>
  </property>
</Properties>
</file>