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92C857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35DE1A1" wp14:editId="73A5DC6A">
            <wp:extent cx="720090" cy="720090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720C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MARINHA DO BRASIL</w:t>
      </w:r>
    </w:p>
    <w:p w14:paraId="154FF1EE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ATA DE REGISTRO DE PREÇOS</w:t>
      </w:r>
    </w:p>
    <w:p w14:paraId="3700FA73" w14:textId="77777777" w:rsidR="00DB59D9" w:rsidRDefault="00000000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 xml:space="preserve">Pregão Eletrônico nº 90019/2024</w:t>
        <w:br/>
        <w:t xml:space="preserve">791181/2024-050/00</w:t>
      </w:r>
    </w:p>
    <w:p w14:paraId="3B94D017" w14:textId="77777777" w:rsidR="00DB59D9" w:rsidRDefault="00DB59D9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</w:rPr>
      </w:pPr>
    </w:p>
    <w:p w14:paraId="1CF2285A" w14:textId="6C4578D1" w:rsidR="00754758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Cabeçalho para teste</w:t>
      </w:r>
    </w:p>
    <w:p w14:paraId="5FDD03F1" w14:textId="77777777" w:rsidR="00251C60" w:rsidRPr="00251C60" w:rsidRDefault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  <w:u w:val="single"/>
        </w:rPr>
      </w:pPr>
    </w:p>
    <w:p w14:paraId="18A8D205" w14:textId="77777777" w:rsidR="00DB59D9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EMPRESA REGISTRADA: </w:t>
      </w:r>
    </w:p>
    <w:p w14:paraId="1F8DCED4" w14:textId="77777777" w:rsidR="00DB59D9" w:rsidRDefault="00000000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/>
          <w:sz w:val="24"/>
        </w:rPr>
        <w:t xml:space="preserve">Razão Social: </w:t>
      </w:r>
      <w:r>
        <w:rPr>
          <w:rFonts w:ascii="Calibri" w:hAnsi="Calibri"/>
          <w:b w:val="0"/>
          <w:sz w:val="24"/>
        </w:rPr>
        <w:t>VECTOR CONTROL COMERCIAL LTDA;</w:t>
        <w:br/>
      </w:r>
      <w:r>
        <w:rPr>
          <w:rFonts w:ascii="Calibri" w:hAnsi="Calibri"/>
          <w:b/>
          <w:sz w:val="24"/>
        </w:rPr>
        <w:t xml:space="preserve">Nome Fantasia: </w:t>
      </w:r>
      <w:r>
        <w:rPr>
          <w:rFonts w:ascii="Calibri" w:hAnsi="Calibri"/>
          <w:b w:val="0"/>
          <w:sz w:val="24"/>
        </w:rPr>
        <w:t>None;</w:t>
        <w:br/>
      </w:r>
      <w:r>
        <w:rPr>
          <w:rFonts w:ascii="Calibri" w:hAnsi="Calibri"/>
          <w:b/>
          <w:sz w:val="24"/>
        </w:rPr>
        <w:t xml:space="preserve">CNPJ: </w:t>
      </w:r>
      <w:r>
        <w:rPr>
          <w:rFonts w:ascii="Calibri" w:hAnsi="Calibri"/>
          <w:b w:val="0"/>
          <w:sz w:val="24"/>
        </w:rPr>
        <w:t>19.072.887/0001-51;</w:t>
        <w:br/>
      </w:r>
      <w:r>
        <w:rPr>
          <w:rFonts w:ascii="Calibri" w:hAnsi="Calibri"/>
          <w:b/>
          <w:sz w:val="24"/>
        </w:rPr>
        <w:t xml:space="preserve">Endereço: </w:t>
      </w:r>
      <w:r>
        <w:rPr>
          <w:rFonts w:ascii="Calibri" w:hAnsi="Calibri"/>
          <w:b w:val="0"/>
          <w:sz w:val="24"/>
        </w:rPr>
        <w:t>AVENIDA RUI BARBOSA, 247 - LOJA 05 - SAO FRANCISCO;</w:t>
        <w:br/>
      </w:r>
      <w:r>
        <w:rPr>
          <w:rFonts w:ascii="Calibri" w:hAnsi="Calibri"/>
          <w:b/>
          <w:sz w:val="24"/>
        </w:rPr>
        <w:t xml:space="preserve">Município-UF: </w:t>
      </w:r>
      <w:r>
        <w:rPr>
          <w:rFonts w:ascii="Calibri" w:hAnsi="Calibri"/>
          <w:b w:val="0"/>
          <w:sz w:val="24"/>
        </w:rPr>
        <w:t>Niterói - None;</w:t>
        <w:br/>
      </w:r>
      <w:r>
        <w:rPr>
          <w:rFonts w:ascii="Calibri" w:hAnsi="Calibri"/>
          <w:b/>
          <w:sz w:val="24"/>
        </w:rPr>
        <w:t xml:space="preserve">CEP: </w:t>
      </w:r>
      <w:r>
        <w:rPr>
          <w:rFonts w:ascii="Calibri" w:hAnsi="Calibri"/>
          <w:b w:val="0"/>
          <w:sz w:val="24"/>
        </w:rPr>
        <w:t>24.360-440;</w:t>
        <w:br/>
      </w:r>
      <w:r>
        <w:rPr>
          <w:rFonts w:ascii="Calibri" w:hAnsi="Calibri"/>
          <w:b/>
          <w:sz w:val="24"/>
        </w:rPr>
        <w:t xml:space="preserve">Telefone: </w:t>
      </w:r>
      <w:r>
        <w:rPr>
          <w:rFonts w:ascii="Calibri" w:hAnsi="Calibri"/>
          <w:b w:val="0"/>
          <w:sz w:val="24"/>
        </w:rPr>
        <w:t>(21) 26105048 Telefone: (21) 26105048; e</w:t>
        <w:br/>
      </w:r>
      <w:r>
        <w:rPr>
          <w:rFonts w:ascii="Calibri" w:hAnsi="Calibri"/>
          <w:b/>
          <w:sz w:val="24"/>
        </w:rPr>
        <w:t xml:space="preserve">E-mail: </w:t>
      </w:r>
      <w:r>
        <w:rPr>
          <w:rFonts w:ascii="Calibri" w:hAnsi="Calibri"/>
          <w:b w:val="0"/>
          <w:sz w:val="24"/>
        </w:rPr>
        <w:t>VECTORCONTROLDISTRIBUIDORA@GMAIL.COM.</w:t>
        <w:br/>
      </w:r>
      <w:r>
        <w:rPr>
          <w:rFonts w:ascii="Calibri" w:hAnsi="Calibri"/>
          <w:b w:val="0"/>
          <w:sz w:val="24"/>
        </w:rPr>
        <w:t xml:space="preserve">Representada neste ato, por seu representante legal, o(a) Sr(a) </w:t>
      </w:r>
      <w:r>
        <w:rPr>
          <w:rFonts w:ascii="Calibri" w:hAnsi="Calibri"/>
          <w:b w:val="0"/>
          <w:sz w:val="24"/>
        </w:rPr>
        <w:t>PRISCILA GOMES CINTRA.</w:t>
        <w:br/>
      </w:r>
    </w:p>
    <w:p w14:paraId="1E4459A8" w14:textId="77777777" w:rsidR="00DB59D9" w:rsidRDefault="00000000">
      <w:pPr>
        <w:rPr>
          <w:rFonts w:asciiTheme="minorHAnsi" w:hAnsiTheme="minorHAnsi" w:cstheme="minorHAnsi"/>
          <w:lang w:eastAsia="en-US"/>
        </w:rPr>
      </w:pPr>
      <w:r>
        <w:br w:type="page"/>
      </w:r>
    </w:p>
    <w:p w14:paraId="3F30562D" w14:textId="77777777" w:rsidR="00DB59D9" w:rsidRDefault="00000000">
      <w:pPr>
        <w:pStyle w:val="Nivel01"/>
        <w:numPr>
          <w:ilvl w:val="0"/>
          <w:numId w:val="1"/>
        </w:numPr>
        <w:spacing w:before="0"/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DO OBJETO</w:t>
      </w:r>
    </w:p>
    <w:p w14:paraId="3C66D58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presente Ata tem por objeto o registro de preços para a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eventual Registro de preços para aquisição de material de limpeza. Observar a descrição dos itens no Termo de Referência para formulação das propostas., especificado no item 1 do Termo de Referência, anexo do edital do pregão eletrônico nº 90019/</w:t>
      </w:r>
      <w:proofErr w:type="gramEnd"/>
      <w:r>
        <w:rPr>
          <w:rFonts w:asciiTheme="minorHAnsi" w:hAnsiTheme="minorHAnsi" w:cstheme="minorHAnsi"/>
          <w:color w:val="000000"/>
          <w:sz w:val="24"/>
          <w:szCs w:val="24"/>
        </w:rPr>
        <w:t xml:space="preserve">2024, que é pa</w:t>
      </w:r>
      <w:r>
        <w:rPr>
          <w:rFonts w:asciiTheme="minorHAnsi" w:hAnsiTheme="minorHAnsi" w:cstheme="minorHAnsi"/>
          <w:sz w:val="24"/>
          <w:szCs w:val="24"/>
        </w:rPr>
        <w:t>rte integrante desta Ata, assim como as propostas cujos preços tenham sido registrados, independentemente de transcrição.</w:t>
      </w:r>
    </w:p>
    <w:p w14:paraId="5019E2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DOS PREÇOS, ESPECIFICAÇÕES E QUANTITATIVOS</w:t>
      </w:r>
    </w:p>
    <w:p w14:paraId="0C0A6F8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preço registrado, as especificações do objeto, as quantidades mínimas e máximas de cada item, fornecedor(es) e as demais condições ofertadas na(s) proposta(s) são as que seguem: </w:t>
      </w:r>
    </w:p>
    <w:p w14:paraId="4203EA20" w14:textId="77777777" w:rsidR="00251C60" w:rsidRPr="00DE4348" w:rsidRDefault="00251C60" w:rsidP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u w:val="single"/>
        </w:rPr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1 - Álcool Etílico Limpeza De Ambientes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Álcool Etílico Limpeza De Ambientes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Caixa 12,00 L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284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R$ 58,50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R$ 16.614,00</w:t>
            </w:r>
            <w:r>
              <w:br/>
            </w:r>
          </w:p>
        </w:tc>
      </w:tr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2 - Álcool Etílico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Álcool Etílico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Grama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244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R$ 38,50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R$ 9.394,00</w:t>
            </w:r>
            <w:r>
              <w:br/>
            </w:r>
          </w:p>
        </w:tc>
      </w:tr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19 - Lustrador Móveis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Lustrador Móveis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Caixa 24,00 UN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112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R$ 63,00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R$ 7.056,00</w:t>
            </w:r>
            <w:r>
              <w:br/>
            </w:r>
          </w:p>
        </w:tc>
      </w:tr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36 - Papel Higiênico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Papel Higiênico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Fardo 64,00 RO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780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R$ 59,00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R$ 46.020,00</w:t>
            </w:r>
            <w:r>
              <w:br/>
            </w:r>
          </w:p>
        </w:tc>
      </w:tr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39 - Conjunto para limpeza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Conjunto para limpeza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Unidade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102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R$ 390,00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R$ 39.780,00</w:t>
            </w:r>
            <w:r>
              <w:br/>
            </w:r>
          </w:p>
        </w:tc>
      </w:tr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46 - Vassourinha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Vassourinha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Unidade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484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R$ 3,50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R$ 1.694,00</w:t>
            </w:r>
            <w:r>
              <w:br/>
            </w:r>
          </w:p>
        </w:tc>
      </w:tr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53 - Balde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Balde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Unidade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352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R$ 13,00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R$ 4.576,00</w:t>
            </w:r>
            <w:r>
              <w:br/>
            </w:r>
          </w:p>
        </w:tc>
      </w:tr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54 - Balde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Balde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Unidade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332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R$ 8,00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R$ 2.656,00</w:t>
            </w:r>
            <w:r>
              <w:br/>
            </w:r>
          </w:p>
        </w:tc>
      </w:tr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62 - Copo Descartável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Copo Descartável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Caixa 5000,00 UN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206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R$ 98,50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R$ 20.291,00</w:t>
            </w:r>
            <w:r>
              <w:br/>
            </w:r>
          </w:p>
        </w:tc>
      </w:tr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67 - Álcool etílico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Álcool etílico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Litro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198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R$ 110,00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R$ 21.780,00</w:t>
            </w:r>
            <w:r>
              <w:br/>
            </w:r>
          </w:p>
        </w:tc>
      </w:tr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72 - Coletor lixo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Coletor lixo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Unidade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40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R$ 1.100,00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R$ 44.000,00</w:t>
            </w:r>
            <w:r>
              <w:br/>
            </w:r>
          </w:p>
        </w:tc>
      </w:tr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74 - Coletor lixo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Coletor lixo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Unidade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52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R$ 645,00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R$ 33.540,00</w:t>
            </w:r>
            <w:r>
              <w:br/>
            </w:r>
          </w:p>
        </w:tc>
      </w:tr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76 - Pano limpeza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Pano limpeza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Unidade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48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R$ 1.250,00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R$ 60.000,00</w:t>
            </w:r>
            <w:r>
              <w:br/>
            </w:r>
          </w:p>
        </w:tc>
      </w:tr>
    </w:tbl>
    <w:p w14:paraId="03A04417" w14:textId="77777777" w:rsidR="00483E3A" w:rsidRDefault="00483E3A" w:rsidP="00483E3A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 w:val="0"/>
          <w:sz w:val="24"/>
        </w:rPr>
        <w:t>Valor total homologado para a empresa:</w:t>
        <w:br/>
      </w:r>
      <w:r>
        <w:rPr>
          <w:rFonts w:ascii="Calibri" w:hAnsi="Calibri"/>
          <w:b/>
          <w:sz w:val="24"/>
        </w:rPr>
        <w:t>R$ 307.401,00 (Trezentos e sete mil, quatrocentos e um reais)</w:t>
        <w:br/>
      </w:r>
    </w:p>
    <w:p w14:paraId="72CEE990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  <w:lang w:eastAsia="en-US"/>
        </w:rPr>
      </w:pPr>
      <w:r>
        <w:rPr>
          <w:rFonts w:asciiTheme="minorHAnsi" w:hAnsiTheme="minorHAnsi" w:cstheme="minorHAnsi"/>
          <w:sz w:val="24"/>
          <w:szCs w:val="24"/>
          <w:lang w:eastAsia="en-US"/>
        </w:rPr>
        <w:t>A listagem do cadastro de reserva referente ao presente registro de preços consta como anexo a esta Ata.</w:t>
      </w:r>
    </w:p>
    <w:p w14:paraId="06E3254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ÓRGÃO(S) GERENCIADOR E PARTICIPANTE(S)</w:t>
      </w:r>
    </w:p>
    <w:p w14:paraId="531A319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órgão gerenciador será o CEIMSPA (CEIMSPA)</w:t>
      </w:r>
      <w:r>
        <w:rPr>
          <w:rFonts w:ascii="Calibri" w:hAnsi="Calibri" w:cs="Calibri"/>
          <w:color w:val="000000"/>
          <w:sz w:val="24"/>
          <w:szCs w:val="24"/>
        </w:rPr>
        <w:t>,</w:t>
      </w:r>
      <w:r>
        <w:rPr>
          <w:rFonts w:asciiTheme="minorHAnsi" w:hAnsiTheme="minorHAnsi" w:cstheme="minorHAnsi"/>
          <w:sz w:val="24"/>
          <w:szCs w:val="24"/>
        </w:rPr>
        <w:t xml:space="preserve"> e a relação de órgãos participantes consta em anexo ao Termo de Referência.</w:t>
      </w:r>
    </w:p>
    <w:p w14:paraId="2EEE5AE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DA ADESÃO À ATA DE REGISTRO DE PREÇOS</w:t>
      </w:r>
    </w:p>
    <w:p w14:paraId="09224E53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  <w:t>Não será admitida a adesão à ata de registro de preços decorrente desta licitação ou desta contratação direta, conforme justificativa apresentada nos estudos técnicos preliminares.</w:t>
      </w:r>
    </w:p>
    <w:p w14:paraId="04238A0B" w14:textId="77777777" w:rsidR="00DB59D9" w:rsidRDefault="00000000">
      <w:pPr>
        <w:pStyle w:val="SubTitNN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Cs w:val="0"/>
          <w:color w:val="000000"/>
          <w:sz w:val="24"/>
          <w:szCs w:val="24"/>
        </w:rPr>
        <w:t>Vedação a acr</w:t>
      </w:r>
      <w:r>
        <w:rPr>
          <w:rFonts w:asciiTheme="minorHAnsi" w:hAnsiTheme="minorHAnsi" w:cstheme="minorHAnsi"/>
          <w:sz w:val="24"/>
          <w:szCs w:val="24"/>
        </w:rPr>
        <w:t>éscimo de quantitativos</w:t>
      </w:r>
    </w:p>
    <w:p w14:paraId="62736AD6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É vedado efetuar acréscimos nos quantitativos fixados na ata de registro de preços.</w:t>
      </w:r>
    </w:p>
    <w:p w14:paraId="00D67F5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VALIDADE, FORMALIZAÇÃO DA ATA DE REGISTRO DE PREÇOS E CADASTRO RESERVA</w:t>
      </w:r>
    </w:p>
    <w:p w14:paraId="3FE000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validade da Ata de Registro </w:t>
      </w:r>
      <w:r>
        <w:rPr>
          <w:rFonts w:asciiTheme="minorHAnsi" w:hAnsiTheme="minorHAnsi" w:cstheme="minorHAnsi"/>
          <w:color w:val="000000"/>
          <w:sz w:val="24"/>
          <w:szCs w:val="24"/>
        </w:rPr>
        <w:t>de Preços será de 1 (um) ano, contado a partir do primeiro dia útil subsequente à data de divulgação no PNCP, podendo ser prorrogada por igual período, mediante a anuência do fornecedor, desde que comprovado o preço vantajoso.</w:t>
      </w:r>
    </w:p>
    <w:p w14:paraId="0F729FF4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contrato decorrente da ata de registro de preços terá sua vigência estabelecida no próprio instrumento contratual e observará no momento da contratação e a cada exercício financeiro a disponibilidade de créditos orçamentários, bem como a previsão no plano plurianual, quando ultrapassar 1 (um) exercício financeiro.</w:t>
      </w:r>
    </w:p>
    <w:p w14:paraId="3B6F130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formalização do contrato ou do instrumento substituto deverá haver a indicação da disponibilidade dos créditos orçamentários respectivos.</w:t>
      </w:r>
    </w:p>
    <w:p w14:paraId="2F39E702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 contratação com os fornecedores registrados na ata será formalizada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interessada por intermédio de instrumento contratual, emissão de nota de empenho de </w:t>
      </w:r>
      <w:r>
        <w:rPr>
          <w:rFonts w:asciiTheme="minorHAnsi" w:hAnsiTheme="minorHAnsi" w:cstheme="minorHAnsi"/>
          <w:sz w:val="24"/>
          <w:szCs w:val="24"/>
        </w:rPr>
        <w:lastRenderedPageBreak/>
        <w:t>despesa, autorização de compra ou outro instrumento hábil, conforme o art. 95 da Lei nº 14.133, de 2021.</w:t>
      </w:r>
    </w:p>
    <w:p w14:paraId="5B600E0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instrumento contratual de que trata o item 5.2. deverá ser assinado no prazo de validade da ata de registro de preços.</w:t>
      </w:r>
    </w:p>
    <w:p w14:paraId="0F079F6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Os contratos decorrentes do sistema de registro de preços poderão ser alterados, observado o art. 124 da Lei nº 14.133, de 2021.</w:t>
      </w:r>
    </w:p>
    <w:p w14:paraId="327BF3D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Após a homologação da licitação ou da contratação direta, deverão ser observadas as seguintes condições para formalização da ata de registro de preços:</w:t>
      </w:r>
    </w:p>
    <w:p w14:paraId="584721E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Serão registrados na ata os preços e os quantita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 adjudicatário, devendo ser observada a possibilidade de o licitante oferecer ou não proposta em quantitativo inferior ao máximo previ</w:t>
      </w:r>
      <w:r>
        <w:rPr>
          <w:rFonts w:asciiTheme="minorHAnsi" w:hAnsiTheme="minorHAnsi" w:cstheme="minorHAnsi"/>
          <w:color w:val="000000"/>
          <w:sz w:val="24"/>
          <w:szCs w:val="24"/>
        </w:rPr>
        <w:t>sto no edital</w:t>
      </w:r>
      <w:r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 se obrigar nos limites dela;</w:t>
      </w:r>
    </w:p>
    <w:p w14:paraId="3BEC72B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incluído na ata, na forma de anexo, o registro dos licitantes ou dos fornecedores que:</w:t>
      </w:r>
    </w:p>
    <w:p w14:paraId="78FA6BA3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Aceitarem cotar os bens, as obras ou os serviços com preços iguais aos do adjudicatário, observada a classificação da licitação; e </w:t>
      </w:r>
    </w:p>
    <w:p w14:paraId="3A004826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Mantiverem sua proposta original. </w:t>
      </w:r>
      <w:bookmarkStart w:id="0" w:name="cadastro_reserva"/>
      <w:bookmarkEnd w:id="0"/>
    </w:p>
    <w:p w14:paraId="37DC9E1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respeitada, nas contratações, a ordem de classificação dos licitantes ou dos fornecedores registrados na ata.</w:t>
      </w:r>
    </w:p>
    <w:p w14:paraId="25A8B7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registro a que se refere o item 5.4.2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tem por obje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a formação de cadastro de reserva para o caso de impossibilidade de atendimento pelo signatário da ata.</w:t>
      </w:r>
    </w:p>
    <w:p w14:paraId="54A249E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Para fins da ordem de classificação, os licitantes ou fornecedores que aceitarem reduzir suas propostas para o preço do adjudicatário antecederão aqueles que mantiverem sua proposta original.</w:t>
      </w:r>
    </w:p>
    <w:p w14:paraId="70FA6B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habilitação dos licitantes que comporão o cadastro de reserva a que se refere 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cadastro_reserva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5.4.2.2.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somente será efetuada quando houver necessidade de contratação dos licitantes remanescentes, nas seguintes hipóteses:</w:t>
      </w:r>
    </w:p>
    <w:p w14:paraId="51F8112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Quando o l</w:t>
      </w:r>
      <w:r>
        <w:rPr>
          <w:rFonts w:asciiTheme="minorHAnsi" w:hAnsiTheme="minorHAnsi" w:cstheme="minorHAnsi"/>
          <w:color w:val="000000"/>
          <w:sz w:val="24"/>
          <w:szCs w:val="24"/>
        </w:rPr>
        <w:t>icitante vencedor não assinar a ata de registro de preços, no prazo e nas condições estabelecidos no edital; e</w:t>
      </w:r>
    </w:p>
    <w:p w14:paraId="34B62BC8" w14:textId="69B08559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Quando houver o cancel</w:t>
      </w:r>
      <w:r>
        <w:rPr>
          <w:rFonts w:asciiTheme="minorHAnsi" w:hAnsiTheme="minorHAnsi" w:cstheme="minorHAnsi"/>
          <w:sz w:val="24"/>
          <w:szCs w:val="24"/>
        </w:rPr>
        <w:t xml:space="preserve">amento do registro do licitante ou do registro de preços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 w:rsidR="00196418">
        <w:rPr>
          <w:rFonts w:ascii="Calibri" w:hAnsi="Calibri" w:cs="Calibri"/>
          <w:sz w:val="24"/>
          <w:szCs w:val="24"/>
        </w:rPr>
        <w:t>9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4BBA56B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preço registrado com indicação dos licitantes e fornecedores será divulgado no PNCP e ficará disponibilizado durante a vigência da ata de registro de preços.</w:t>
      </w:r>
    </w:p>
    <w:p w14:paraId="469EB4F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Após a homologação da licitação ou da contratação direta, o licitante mais bem classificado ou o fornecedor, no caso da contratação direta, será convocado para assinar a ata de registro de preços, </w:t>
      </w:r>
      <w:r>
        <w:rPr>
          <w:rFonts w:asciiTheme="minorHAnsi" w:hAnsiTheme="minorHAnsi" w:cstheme="minorHAnsi"/>
          <w:sz w:val="24"/>
          <w:szCs w:val="24"/>
        </w:rPr>
        <w:lastRenderedPageBreak/>
        <w:t>no prazo e nas condições estabelecidos no edital de licitação ou no aviso de contratação direta, sob pena de decair o direito, sem prejuízo das sanções previstas na Lei nº 14.133, de 2021.</w:t>
      </w:r>
    </w:p>
    <w:p w14:paraId="5191C19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prazo de convocação poderá ser prorrogado 1 (uma) vez, por igual período, mediante solicitação do licitante ou fornecedor convocado, desde que apresentada dentro do prazo, devidamente justificada, e que a justificativa seja aceita pela Administração.</w:t>
      </w:r>
    </w:p>
    <w:p w14:paraId="5FBDD2B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ata de registro de preços será assinada por meio de assinatura digital e disponibilizada no Sistema de Registro de Preços.</w:t>
      </w:r>
    </w:p>
    <w:p w14:paraId="1048B9A7" w14:textId="1BD7BCC3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Quando o convocado não assinar a ata de registro de preços no prazo e nas condições estabelecidos no edital ou no aviso de contratação, e observado o disposto no item </w:t>
      </w:r>
      <w:r w:rsidR="00196418">
        <w:rPr>
          <w:rFonts w:asciiTheme="minorHAnsi" w:hAnsiTheme="minorHAnsi" w:cstheme="minorHAnsi"/>
          <w:sz w:val="24"/>
          <w:szCs w:val="24"/>
        </w:rPr>
        <w:t>5.7</w:t>
      </w:r>
      <w:r>
        <w:rPr>
          <w:rFonts w:asciiTheme="minorHAnsi" w:hAnsiTheme="minorHAnsi" w:cstheme="minorHAnsi"/>
          <w:sz w:val="24"/>
          <w:szCs w:val="24"/>
        </w:rPr>
        <w:t>, observando o item 5.7 e subitens, fica facultado à Administração convocar os licitantes remanescentes do cadastro de reserva, na ordem de classificação, para fazê-lo em igual prazo e nas condições propostas pelo primeiro classificado.</w:t>
      </w:r>
    </w:p>
    <w:p w14:paraId="5106FDFB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nenhum dos licitantes que trata o item 5.4.2.1, aceitar a contratação nos termo</w:t>
      </w:r>
      <w:r>
        <w:rPr>
          <w:rFonts w:asciiTheme="minorHAnsi" w:hAnsiTheme="minorHAnsi" w:cstheme="minorHAnsi"/>
          <w:color w:val="000000"/>
          <w:sz w:val="24"/>
          <w:szCs w:val="24"/>
        </w:rPr>
        <w:t>s do item anterior, a Administração, observados o valor es</w:t>
      </w:r>
      <w:r>
        <w:rPr>
          <w:rFonts w:asciiTheme="minorHAnsi" w:eastAsia="Arial" w:hAnsiTheme="minorHAnsi" w:cstheme="minorHAnsi"/>
          <w:color w:val="000000"/>
          <w:sz w:val="24"/>
          <w:szCs w:val="24"/>
        </w:rPr>
        <w:t>ti</w:t>
      </w:r>
      <w:r>
        <w:rPr>
          <w:rFonts w:asciiTheme="minorHAnsi" w:hAnsiTheme="minorHAnsi" w:cstheme="minorHAnsi"/>
          <w:color w:val="000000"/>
          <w:sz w:val="24"/>
          <w:szCs w:val="24"/>
        </w:rPr>
        <w:t>mado e sua eventual atualização nos termos do edital, po</w:t>
      </w:r>
      <w:r>
        <w:rPr>
          <w:rFonts w:asciiTheme="minorHAnsi" w:hAnsiTheme="minorHAnsi" w:cstheme="minorHAnsi"/>
          <w:sz w:val="24"/>
          <w:szCs w:val="24"/>
        </w:rPr>
        <w:t>derá:</w:t>
      </w:r>
    </w:p>
    <w:p w14:paraId="144A568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Convocar para negociação os demais licitantes ou fornecedores remanescentes cujos preços foram registrados sem redução, observada a ordem de classificação, com vistas à obtenção de preço melhor, mesmo que acima do preço do adjudicatário; ou</w:t>
      </w:r>
    </w:p>
    <w:p w14:paraId="02E5884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Adjudicar e firmar o contrato nas condições ofertadas pelos licitantes ou fornecedores remanescentes, atendida a ordem classificatória, quando frustrada a negociação de melhor condição.</w:t>
      </w:r>
    </w:p>
    <w:p w14:paraId="3AA9D77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existência de preços registrados implicará compromisso de fornecimento nas condições estabelecidas, mas não obrigará a Administração a contratar, facultada a realização de licitação específica para a aquisição pretendida, desde que devidamente justificada.</w:t>
      </w:r>
    </w:p>
    <w:p w14:paraId="20BC01F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ALTERAÇÃO OU ATUALIZAÇÃO DOS PREÇOS REGISTRADOS</w:t>
      </w:r>
    </w:p>
    <w:p w14:paraId="67A45CB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Os preços registrados poderão ser alterados ou atualizados em decorrência de eventual redução dos preços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no mercado ou de fato que eleve o custo dos bens, das obras ou dos serviços registrados, nas seguintes situações:</w:t>
      </w:r>
    </w:p>
    <w:p w14:paraId="278689BD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Em caso de força maior, caso fortuito ou fato do príncipe ou em decorrência de fatos imprevisíveis ou previsíveis de consequências incalculáveis, que inviabilizem a execução da ata tal </w:t>
      </w:r>
      <w:r>
        <w:rPr>
          <w:rFonts w:asciiTheme="minorHAnsi" w:hAnsiTheme="minorHAnsi" w:cstheme="minorHAnsi"/>
          <w:color w:val="000000"/>
          <w:sz w:val="24"/>
          <w:szCs w:val="24"/>
        </w:rPr>
        <w:t>como pactuada, nos termos da alínea “d” do inciso II do caput do art. 124 da Lei nº 14.133, de 2021;</w:t>
      </w:r>
    </w:p>
    <w:p w14:paraId="6F5EF1A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Em caso de criação, alteração ou ex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nção de quaisquer tributos ou encargos legais ou a superveniência de disposições legais, com comprovada repercussão sobre os preços registrados; </w:t>
      </w:r>
    </w:p>
    <w:p w14:paraId="28694CEA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previsão no edital ou no aviso de contratação direta de cláusula de reajustamento ou repactuação sobre os preços registrados, nos termos da Lei nº 14.133, de 2021.</w:t>
      </w:r>
    </w:p>
    <w:p w14:paraId="6AB87E27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No caso do reajustamento, deverá ser respeitada a contagem da anualidade e o índice previstos para a contratação;  </w:t>
      </w:r>
    </w:p>
    <w:p w14:paraId="42CC9381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No caso da repactuação, poderá ser a pedido do interessado, conforme critérios definidos para a contratação.</w:t>
      </w:r>
    </w:p>
    <w:p w14:paraId="3D43A6F0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NEGOCIAÇÃO DE PREÇOS REGISTRADOS</w:t>
      </w:r>
    </w:p>
    <w:p w14:paraId="67680E5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o preço registrado tornar-se superior ao preço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 no mercado por mo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superveniente,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convocará o fornecedor para negociar a redução do preço registrado.</w:t>
      </w:r>
    </w:p>
    <w:p w14:paraId="1DFA1E0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não aceite reduzir seu preço aos valores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pelo mercado, o fornecedor será liberado do compromisso assumido quanto ao item registrado, sem aplicação de penalidades administrativas.</w:t>
      </w:r>
    </w:p>
    <w:p w14:paraId="1F5FD6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prevista no item anterior, o gerenciador convocará os fornecedores do cadastro de reserva, na ordem de classificação, para verificar se aceitam reduzir seus preços aos valores de mercado e não convocará os licitantes ou fornecedores que tiveram seu registro cancelado. </w:t>
      </w:r>
    </w:p>
    <w:p w14:paraId="3ABE718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 não obtiver êxito nas negociações, o órgão ou en</w:t>
      </w:r>
      <w:r>
        <w:rPr>
          <w:rFonts w:asciiTheme="minorHAnsi" w:eastAsia="Calibri" w:hAnsiTheme="minorHAnsi" w:cstheme="minorHAnsi"/>
          <w:sz w:val="24"/>
          <w:szCs w:val="24"/>
        </w:rPr>
        <w:t>tid</w:t>
      </w:r>
      <w:r>
        <w:rPr>
          <w:rFonts w:asciiTheme="minorHAnsi" w:hAnsiTheme="minorHAnsi" w:cstheme="minorHAnsi"/>
          <w:sz w:val="24"/>
          <w:szCs w:val="24"/>
        </w:rPr>
        <w:t>ade gerenciadora procederá ao cancelamento da ata de registro de preços, adotando as medidas cabíveis para obtenção de contratação mais vantajosa.</w:t>
      </w:r>
      <w:bookmarkStart w:id="1" w:name="reducao_preco_mercado_negociacao_frustra"/>
      <w:bookmarkEnd w:id="1"/>
    </w:p>
    <w:p w14:paraId="3715D9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redução do preço registrado, o gerenciador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para que avaliem a conveniência e a oportunidade de diligenciarem negociação com vistas à alteração contratual, observado o disposto no art. 124 da Lei nº 14.133, de 2021.</w:t>
      </w:r>
    </w:p>
    <w:p w14:paraId="5C378A5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o preço de mercado tornar-se superior ao preço registrado e o fornecedor não poder cumprir as obrigações estabelecidas na ata, será facultado ao fornecedor requerer ao gerenciador a alteração do preço registrado, mediante comprovação de fato superveniente que supostamente o impossibilite de cumprir o compromisso.</w:t>
      </w:r>
      <w:bookmarkStart w:id="2" w:name="hipotese_preco_mercado_maior"/>
      <w:bookmarkEnd w:id="2"/>
    </w:p>
    <w:p w14:paraId="59C35D7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Neste caso, o fornecedor encaminhará, juntamente com o pedido de alteração, a documentação comprobatória ou </w:t>
      </w:r>
      <w:proofErr w:type="spellStart"/>
      <w:r>
        <w:rPr>
          <w:rFonts w:asciiTheme="minorHAnsi" w:hAnsiTheme="minorHAnsi" w:cstheme="minorHAnsi"/>
          <w:sz w:val="24"/>
          <w:szCs w:val="24"/>
        </w:rPr>
        <w:t>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planilha de custos que demonstre a inviabilidade do preço registrado em relação às condições inicialmente pactuadas.</w:t>
      </w:r>
      <w:bookmarkStart w:id="3" w:name="prova_preco_mercado_maior"/>
      <w:bookmarkEnd w:id="3"/>
    </w:p>
    <w:p w14:paraId="36E640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hipótese de não comprovação da existência de fato superveniente que inviabilize o preço registrado, o pedido será indeferido pelo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gerenciadora e o fornecedor deverá cumprir as obrigações estabelecidas na ata, sob pena de cancelamento do seu registro,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sem prejuízo das sanções previstas na Lei nº 14.133, de 2021, e na legislação aplicável.</w:t>
      </w:r>
    </w:p>
    <w:p w14:paraId="3A3702E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cancelamento do registro do fornecedor, nos termos do item anterior, o gerenciador convocará os fornecedores do cadastro de reserva, na ordem de classificação, para verificar se aceitam manter seus preços registrados, observado o disposto no item 5.7.</w:t>
      </w:r>
    </w:p>
    <w:p w14:paraId="6B77851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obtiver êxito nas negociações, o órgão ou entidade gerenciadora procederá ao cancelamento da ata de registro de preços,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cancelamento_da_ata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9.4.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e adotará as medidas cabíveis para a obtenção da contratação mais vantajosa.</w:t>
      </w:r>
    </w:p>
    <w:p w14:paraId="63392156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de comprovação da majoração do preço de mercado que inviabilize o preço registrado, conforme previsto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hipotese_preco_mercado_maior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e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prova_preco_mercado_maior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atualizará o preço registrado, de acordo com a realidade dos valores praticados pelo mercado.</w:t>
      </w:r>
    </w:p>
    <w:p w14:paraId="21C0CEC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sobre a efe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va alteração do preço registrado, para que avaliem a necessidade de alteração contratual, observado o disposto no art. 124 da Lei nº 14.133, de 2021.</w:t>
      </w:r>
    </w:p>
    <w:p w14:paraId="7CC8E59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REMANEJAMENTO DAS QUANTIDADES REGISTRADAS NA ATA DE REGISTRO DE PREÇOS</w:t>
      </w:r>
    </w:p>
    <w:p w14:paraId="421D52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previstas para os itens com preços registrados nas atas de registro de preços poderão ser remanejadas pelo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entre os órgãos ou as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e não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do registro de preços.</w:t>
      </w:r>
    </w:p>
    <w:p w14:paraId="79E6BE0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remanejamento somente poderá ser feito:</w:t>
      </w:r>
    </w:p>
    <w:p w14:paraId="2415BE8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cipante; ou</w:t>
      </w:r>
    </w:p>
    <w:p w14:paraId="713C328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participante.</w:t>
      </w:r>
    </w:p>
    <w:p w14:paraId="2D6ABF2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que tiver es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mado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que pretende contratar será considerado participante para efeito do remanejamento.</w:t>
      </w:r>
      <w:bookmarkStart w:id="4" w:name="gerenciador_estimador_é_partic_em_remane"/>
      <w:bookmarkEnd w:id="4"/>
    </w:p>
    <w:p w14:paraId="733332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remanejamento de órgão ou entidade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participante, serão observados os limites previstos no art. 32 do Decreto nº 11.462, de 2023.</w:t>
      </w:r>
    </w:p>
    <w:p w14:paraId="0E22467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Competirá ao órgão ou à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autorizar o remanejamento solicitado, com a redução do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inicialmente informado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cipante, desde que haja prévia anuência do órgão ou da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que sofrer redução dos quantitativos informados.</w:t>
      </w:r>
    </w:p>
    <w:p w14:paraId="53F6B03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o remanejamento seja feito entre órgãos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dos Estados, do Distrito Federal ou de Municípios dis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ntos, caberá ao fornecedor beneficiário da ata de registro de preços, observadas as condições nela estabelecidas, optar pela aceitação ou não do fornecimento decorrente do remanejamento dos itens.</w:t>
      </w:r>
    </w:p>
    <w:p w14:paraId="39D38F3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da compra centralizada, não havendo indicação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gerenciadora, dos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cipantes da compra centralizada,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gerenciador_estimador_é_partic_em_remane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8.3.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a distribuição das quantidades para a execução descentralizada será por meio do remanejamento.</w:t>
      </w:r>
    </w:p>
    <w:p w14:paraId="042A0B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CANCELAMENTO DO REGISTRO DO LICITANTE VENCEDOR E DOS PREÇOS REGISTRADOS</w:t>
      </w:r>
      <w:bookmarkStart w:id="5" w:name="cancelamento"/>
      <w:bookmarkEnd w:id="5"/>
    </w:p>
    <w:p w14:paraId="5BFF2B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registro do fornecedor será cancelado pelo gerenciador, quando o fornecedor:</w:t>
      </w:r>
      <w:bookmarkStart w:id="6" w:name="cancelamento_do_fornecedor"/>
      <w:bookmarkEnd w:id="6"/>
    </w:p>
    <w:p w14:paraId="6728911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Descumprir as condições da ata de registro de preços, sem motivo justificado;</w:t>
      </w:r>
    </w:p>
    <w:p w14:paraId="1A5362E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re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rar a nota de empenho, ou instrumento equivalente, no prazo estabelecido pela Administração sem justificativa razoável;</w:t>
      </w:r>
    </w:p>
    <w:p w14:paraId="0C06AE5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Não aceitar manter seu preço registrado, na hipótese prevista no artigo 27, § 2º, do Decreto nº 11.462, de 2023; ou</w:t>
      </w:r>
    </w:p>
    <w:p w14:paraId="775BC2D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Sofrer sanção prevista nos incisos III ou IV do caput do art. 156 da Lei nº 14.133, de 2021.</w:t>
      </w:r>
    </w:p>
    <w:p w14:paraId="164F37AF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aplicação de sanção prevista nos incisos III ou IV do caput do art. 156 da Lei nº 14.133, de 2021, caso a penalidade aplicada ao fornecedor não ultrapasse o prazo de vigência da ata de registro de preços, poderá o órgão ou a entidade gerenciadora poderá, mediante decisão fundamentada, decidir pela manutenção do registro de preços, vedadas contratações derivadas da ata enquanto perdurarem os efeitos da sanção.</w:t>
      </w:r>
    </w:p>
    <w:p w14:paraId="7817EC3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cancelamento de registros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será formalizado por despacho do órgão ou da entidade gerenciadora, garantidos os princípios do contraditório e da ampla defesa.</w:t>
      </w:r>
    </w:p>
    <w:p w14:paraId="48CF05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cancelamento do registro do fornecedor, o órgão ou a entidade gerenciadora poderá convocar os licitantes que compõem o cadastro de reserva, observada a ordem de classificação.</w:t>
      </w:r>
    </w:p>
    <w:p w14:paraId="4905821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cancelamento dos preços registrados poderá ser realizado pelo gerenciador, em determinada ata de registro de preços, total ou parcialmente, nas seguintes hipóteses, desde que devidamente comprovadas e justificadas:</w:t>
      </w:r>
      <w:bookmarkStart w:id="7" w:name="cancelamento_da_ata"/>
      <w:bookmarkEnd w:id="7"/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35D36F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Por razão de interesse público;</w:t>
      </w:r>
    </w:p>
    <w:p w14:paraId="5A11EC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pedido do fornecedor, decorrente de caso fortuito ou força maior; ou</w:t>
      </w:r>
    </w:p>
    <w:p w14:paraId="7CB4984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houver êxito nas negociações, nas hipóteses em que o preço de mercado tornar-se superior ou inferior ao preço registrado, nos termos do artigos 26, § 3º </w:t>
      </w:r>
      <w:proofErr w:type="gramStart"/>
      <w:r>
        <w:rPr>
          <w:rFonts w:asciiTheme="minorHAnsi" w:hAnsiTheme="minorHAnsi" w:cstheme="minorHAnsi"/>
          <w:sz w:val="24"/>
          <w:szCs w:val="24"/>
        </w:rPr>
        <w:t>e  27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, § 4º, ambos do Decreto nº 11.462, de 2023. </w:t>
      </w:r>
    </w:p>
    <w:p w14:paraId="3742D8C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DAS PENALIDADES</w:t>
      </w:r>
    </w:p>
    <w:p w14:paraId="1A82FCD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de</w:t>
      </w:r>
      <w:r>
        <w:rPr>
          <w:rFonts w:asciiTheme="minorHAnsi" w:hAnsiTheme="minorHAnsi" w:cstheme="minorHAnsi"/>
          <w:color w:val="000000"/>
          <w:sz w:val="24"/>
          <w:szCs w:val="24"/>
        </w:rPr>
        <w:t>scumprimento da Ata de Registro de Preços ensejará aplicação das penalidades estabelecidas no edital.</w:t>
      </w:r>
    </w:p>
    <w:p w14:paraId="2E2BC1C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As sanções t</w:t>
      </w:r>
      <w:r>
        <w:rPr>
          <w:rFonts w:asciiTheme="minorHAnsi" w:hAnsiTheme="minorHAnsi" w:cstheme="minorHAnsi"/>
          <w:sz w:val="24"/>
          <w:szCs w:val="24"/>
        </w:rPr>
        <w:t xml:space="preserve">ambém se aplicam aos integrantes do cadastro de reserva no registro de preços que, convocados, não honrarem o compromisso assumido injustificadamente após terem assinado a ata. </w:t>
      </w:r>
    </w:p>
    <w:p w14:paraId="5FB646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É da competência do gerenciador a aplicação das penalidades decorrentes do descumprimento do pactuado nesta ata de registro de preço (art. 7º, inc. XIV, do Decreto nº 11.462, de 2023), exceto nas hipóteses em que o descumprimento disser respeito às contratações dos órgãos ou entidade participante, caso no qual caberá ao respectivo órgão participante a aplicação da penalidade (art. 8º, inc. IX, do Decreto nº 11.462, de 2023).</w:t>
      </w:r>
    </w:p>
    <w:p w14:paraId="6EC9560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órgão ou entidade participante deverá comunicar ao órgão gerenciador qualquer das ocorrências previstas no item 9.1, dada a necessidade de instauração de procedimento para cancelamento do registro do fornecedor.</w:t>
      </w:r>
    </w:p>
    <w:p w14:paraId="3CF5A71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CONDIÇÕES GERAIS</w:t>
      </w:r>
    </w:p>
    <w:p w14:paraId="37186D95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As condições gerais de execução do objeto, tais como os prazos para entrega e recebimento, as obrigações da Administração e do fornecedor registrado, penalidades e demais condições do ajuste, encontram-se definidos no Termo de Referência,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ANEXO AO EDITAL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3F30BE80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  <w:t>No caso de adjudicação por preço global de grupo de itens, só será admitida a contratação de parte de itens do grupo se houver prévia pesquisa de mercado e demonstração de sua vantagem para o órgão ou a entidade.</w:t>
      </w:r>
    </w:p>
    <w:p w14:paraId="4C091861" w14:textId="77777777" w:rsidR="00DB59D9" w:rsidRDefault="00000000">
      <w:pPr>
        <w:rPr>
          <w:rFonts w:asciiTheme="minorHAnsi" w:hAnsiTheme="minorHAnsi" w:cstheme="minorHAnsi"/>
        </w:rPr>
      </w:pPr>
      <w:r>
        <w:br w:type="page"/>
      </w:r>
    </w:p>
    <w:p w14:paraId="13F91FF3" w14:textId="77777777" w:rsidR="00DB59D9" w:rsidRDefault="00000000">
      <w:pPr>
        <w:widowControl w:val="0"/>
        <w:spacing w:after="12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Para firmeza e validade do pactuado, a presente Ata depois de lida e achada em ordem, vai assinada eletronicamente pelas partes</w:t>
      </w:r>
      <w:r>
        <w:rPr>
          <w:rFonts w:asciiTheme="minorHAnsi" w:hAnsiTheme="minorHAnsi" w:cstheme="minorHAnsi"/>
          <w:color w:val="000000"/>
        </w:rPr>
        <w:t xml:space="preserve"> e encaminhada cópia aos demais órgãos participantes (se houver). </w:t>
      </w:r>
    </w:p>
    <w:p w14:paraId="574B7788" w14:textId="77777777" w:rsidR="00DB59D9" w:rsidRDefault="00000000">
      <w:pPr>
        <w:jc w:val="right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Brasília-DF, na data da assinatura.</w:t>
      </w:r>
    </w:p>
    <w:p w14:paraId="05357679" w14:textId="77777777" w:rsidR="00DB59D9" w:rsidRDefault="00DB59D9">
      <w:pPr>
        <w:jc w:val="right"/>
        <w:rPr>
          <w:rFonts w:asciiTheme="minorHAnsi" w:hAnsiTheme="minorHAnsi" w:cstheme="minorHAnsi"/>
        </w:rPr>
      </w:pPr>
    </w:p>
    <w:p w14:paraId="6F0EC02B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3EF2503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86BB371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tbl>
      <w:tblPr>
        <w:tblW w:w="9075" w:type="dxa"/>
        <w:tblInd w:w="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3"/>
        <w:gridCol w:w="4532"/>
      </w:tblGrid>
      <w:tr w:rsidR="00DB59D9" w14:paraId="2DF6DEDD" w14:textId="77777777">
        <w:tc>
          <w:tcPr>
            <w:tcW w:w="4542" w:type="dxa"/>
          </w:tcPr>
          <w:p w14:paraId="46CFB73D" w14:textId="77777777" w:rsidR="00DB59D9" w:rsidRDefault="00000000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Pelo Contratante</w:t>
            </w:r>
            <w:r>
              <w:rPr>
                <w:rFonts w:asciiTheme="minorHAnsi" w:hAnsiTheme="minorHAnsi" w:cstheme="minorHAnsi"/>
                <w:color w:val="000000"/>
              </w:rPr>
              <w:t>:</w:t>
            </w:r>
          </w:p>
          <w:p w14:paraId="29B57A0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21804D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E7F5857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566CFB70" w14:textId="77777777" w:rsidR="00DB59D9" w:rsidRDefault="0000000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Pela Contratada:</w:t>
            </w:r>
          </w:p>
        </w:tc>
      </w:tr>
      <w:tr w:rsidR="00DB59D9" w14:paraId="63DF1A29" w14:textId="77777777">
        <w:tc>
          <w:tcPr>
            <w:tcW w:w="4542" w:type="dxa"/>
          </w:tcPr>
          <w:p w14:paraId="72D0A2B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BRUNO MOREIRA</w:t>
              <w:br/>
              <w:t xml:space="preserve">Capitão de Fragata (IM)</w:t>
              <w:br/>
              <w:t xml:space="preserve">Ordenador de Despesa</w:t>
            </w:r>
          </w:p>
          <w:p w14:paraId="48FE5B68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Capitão de Fragata (IM)</w:t>
            </w:r>
          </w:p>
          <w:p w14:paraId="61058F67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Ordenador de Despesa</w:t>
            </w:r>
          </w:p>
          <w:p w14:paraId="2D5B4E77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22DE0239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</w:rPr>
              <w:t xml:space="preserve"/>
            </w:r>
          </w:p>
          <w:p w14:paraId="3A081A20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</w:tr>
      <w:tr w:rsidR="00DB59D9" w14:paraId="34CB136D" w14:textId="77777777">
        <w:tc>
          <w:tcPr>
            <w:tcW w:w="4542" w:type="dxa"/>
          </w:tcPr>
          <w:p w14:paraId="00FB7D40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4B00B85F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75ADF03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CE5AC9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021B4706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6B8051B2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DB59D9" w14:paraId="4874D563" w14:textId="77777777">
        <w:tc>
          <w:tcPr>
            <w:tcW w:w="4542" w:type="dxa"/>
          </w:tcPr>
          <w:p w14:paraId="6DB50D7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Testemunha</w:t>
            </w:r>
          </w:p>
          <w:p w14:paraId="55D1A7E1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67223814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6CE533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45A8FA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1453E5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452B0BA2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p w14:paraId="1F6A296F" w14:textId="77777777" w:rsidR="00DB59D9" w:rsidRDefault="00DB59D9">
      <w:pPr>
        <w:widowControl w:val="0"/>
        <w:spacing w:line="276" w:lineRule="auto"/>
        <w:jc w:val="center"/>
        <w:rPr>
          <w:rFonts w:asciiTheme="minorHAnsi" w:hAnsiTheme="minorHAnsi" w:cstheme="minorHAnsi"/>
          <w:color w:val="000000"/>
        </w:rPr>
      </w:pPr>
    </w:p>
    <w:p w14:paraId="46C44A29" w14:textId="77777777" w:rsidR="00DB59D9" w:rsidRDefault="00DB59D9">
      <w:pPr>
        <w:widowControl w:val="0"/>
        <w:spacing w:line="276" w:lineRule="auto"/>
        <w:ind w:right="-30"/>
        <w:jc w:val="center"/>
      </w:pPr>
    </w:p>
    <w:sectPr w:rsidR="00DB59D9">
      <w:footerReference w:type="default" r:id="rId9"/>
      <w:pgSz w:w="11906" w:h="16838"/>
      <w:pgMar w:top="1134" w:right="850" w:bottom="1844" w:left="1134" w:header="0" w:footer="113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ACB61C" w14:textId="77777777" w:rsidR="0018497C" w:rsidRDefault="0018497C">
      <w:r>
        <w:separator/>
      </w:r>
    </w:p>
  </w:endnote>
  <w:endnote w:type="continuationSeparator" w:id="0">
    <w:p w14:paraId="0912CC63" w14:textId="77777777" w:rsidR="0018497C" w:rsidRDefault="0018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cofont_Spranq_eco_Sans">
    <w:altName w:val="Cambria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E0B0F3" w14:textId="77777777" w:rsidR="00DB59D9" w:rsidRDefault="00000000">
    <w:pPr>
      <w:pStyle w:val="Rodap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____________________________________________________________________</w:t>
    </w:r>
  </w:p>
  <w:p w14:paraId="08F132EC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Câmara Nacional de Modelos de Licitações e Contratos da Consultoria-Geral da União</w:t>
    </w:r>
  </w:p>
  <w:p w14:paraId="283B36A4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Atualização: maio/2023</w:t>
    </w:r>
  </w:p>
  <w:p w14:paraId="02AC002F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 xml:space="preserve">Ata de Registro de Preços </w:t>
    </w:r>
    <w:proofErr w:type="gramStart"/>
    <w:r>
      <w:rPr>
        <w:rFonts w:ascii="Arial" w:hAnsi="Arial" w:cs="Arial"/>
        <w:sz w:val="12"/>
        <w:szCs w:val="12"/>
      </w:rPr>
      <w:t>–  Lei</w:t>
    </w:r>
    <w:proofErr w:type="gramEnd"/>
    <w:r>
      <w:rPr>
        <w:rFonts w:ascii="Arial" w:hAnsi="Arial" w:cs="Arial"/>
        <w:sz w:val="12"/>
        <w:szCs w:val="12"/>
      </w:rPr>
      <w:t xml:space="preserve"> nº 14.133, de 2021.</w:t>
    </w:r>
  </w:p>
  <w:p w14:paraId="1B8FACF2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Aprovado pela Secretaria de Gestão e Inovação.</w:t>
    </w:r>
  </w:p>
  <w:p w14:paraId="71EA7749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Identidade visual pela Secretaria de Gestão e Inovação</w:t>
    </w:r>
  </w:p>
  <w:p w14:paraId="4AEF2547" w14:textId="77777777" w:rsidR="00DB59D9" w:rsidRDefault="00DB59D9">
    <w:pPr>
      <w:pStyle w:val="Rodap"/>
      <w:rPr>
        <w:rFonts w:ascii="Arial" w:hAnsi="Arial" w:cs="Arial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F73204" w14:textId="77777777" w:rsidR="0018497C" w:rsidRDefault="0018497C">
      <w:r>
        <w:separator/>
      </w:r>
    </w:p>
  </w:footnote>
  <w:footnote w:type="continuationSeparator" w:id="0">
    <w:p w14:paraId="4DEFAB3F" w14:textId="77777777" w:rsidR="0018497C" w:rsidRDefault="001849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BC5C93"/>
    <w:multiLevelType w:val="multilevel"/>
    <w:tmpl w:val="8D5A32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9842BC1"/>
    <w:multiLevelType w:val="multilevel"/>
    <w:tmpl w:val="67988E1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Calibri" w:hAnsi="Calibri"/>
        <w:b/>
        <w:color w:val="auto"/>
        <w:sz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83" w:hanging="432"/>
      </w:pPr>
      <w:rPr>
        <w:rFonts w:ascii="Calibri" w:hAnsi="Calibri"/>
        <w:i w:val="0"/>
        <w:iCs w:val="0"/>
        <w:color w:val="00000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97" w:hanging="504"/>
      </w:pPr>
      <w:rPr>
        <w:rFonts w:asciiTheme="minorHAnsi" w:hAnsiTheme="minorHAnsi" w:cstheme="minorHAnsi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asciiTheme="minorHAnsi" w:hAnsiTheme="minorHAnsi" w:cstheme="minorHAnsi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662584892">
    <w:abstractNumId w:val="1"/>
  </w:num>
  <w:num w:numId="2" w16cid:durableId="36263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mirrorMargins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9D9"/>
    <w:rsid w:val="00175BE0"/>
    <w:rsid w:val="0018497C"/>
    <w:rsid w:val="00196418"/>
    <w:rsid w:val="00251C60"/>
    <w:rsid w:val="00277E84"/>
    <w:rsid w:val="003F16DF"/>
    <w:rsid w:val="0041477D"/>
    <w:rsid w:val="00483E3A"/>
    <w:rsid w:val="005A0B28"/>
    <w:rsid w:val="00754758"/>
    <w:rsid w:val="00862D01"/>
    <w:rsid w:val="0097672B"/>
    <w:rsid w:val="009B2AA0"/>
    <w:rsid w:val="009C0790"/>
    <w:rsid w:val="00AB0AF9"/>
    <w:rsid w:val="00CE13E2"/>
    <w:rsid w:val="00D2155E"/>
    <w:rsid w:val="00DB59D9"/>
    <w:rsid w:val="00DE4348"/>
    <w:rsid w:val="00DE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26646"/>
  <w15:docId w15:val="{1C0E79B1-12F6-437D-92CC-79B05BB0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Ecofont_Spranq_eco_Sans" w:hAnsi="Ecofont_Spranq_eco_Sans" w:cs="Tahoma"/>
      <w:szCs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hAnsi="Cambria" w:cs="Times New Roman"/>
      <w:b/>
      <w:bCs/>
      <w:color w:val="365F91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GradeColorida-nfase1Char">
    <w:name w:val="Grade Colorida - Ênfase 1 Char"/>
    <w:qFormat/>
    <w:rPr>
      <w:rFonts w:ascii="Ecofont_Spranq_eco_Sans" w:eastAsia="Calibri" w:hAnsi="Ecofont_Spranq_eco_Sans" w:cs="Tahoma"/>
      <w:i/>
      <w:iCs/>
      <w:color w:val="000000"/>
      <w:szCs w:val="24"/>
      <w:lang w:val="pt-BR" w:eastAsia="en-US" w:bidi="ar-SA"/>
    </w:rPr>
  </w:style>
  <w:style w:type="character" w:customStyle="1" w:styleId="CorpodetextoChar">
    <w:name w:val="Corpo de texto Char"/>
    <w:qFormat/>
    <w:rPr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050B46"/>
    <w:rPr>
      <w:color w:val="0000FF"/>
      <w:u w:val="single"/>
    </w:rPr>
  </w:style>
  <w:style w:type="character" w:customStyle="1" w:styleId="CabealhoChar">
    <w:name w:val="Cabeçalho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RodapChar">
    <w:name w:val="Rodapé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citao2Char">
    <w:name w:val="citação 2 Char"/>
    <w:basedOn w:val="CitaoChar"/>
    <w:qFormat/>
    <w:rPr>
      <w:rFonts w:ascii="Ecofont_Spranq_eco_Sans" w:eastAsia="Calibri" w:hAnsi="Ecofont_Spranq_eco_Sans" w:cs="Tahoma"/>
      <w:i/>
      <w:iCs/>
      <w:color w:val="000000"/>
      <w:sz w:val="24"/>
      <w:szCs w:val="24"/>
      <w:shd w:val="clear" w:color="auto" w:fill="FFFFCC"/>
      <w:lang w:eastAsia="en-US"/>
    </w:rPr>
  </w:style>
  <w:style w:type="character" w:customStyle="1" w:styleId="CitaoChar">
    <w:name w:val="Citação Char"/>
    <w:basedOn w:val="Fontepargpadro"/>
    <w:qFormat/>
    <w:rPr>
      <w:rFonts w:ascii="Ecofont_Spranq_eco_Sans" w:hAnsi="Ecofont_Spranq_eco_Sans" w:cs="Tahoma"/>
      <w:i/>
      <w:iCs/>
      <w:color w:val="000000"/>
      <w:sz w:val="24"/>
      <w:szCs w:val="24"/>
    </w:rPr>
  </w:style>
  <w:style w:type="character" w:customStyle="1" w:styleId="Ttulo1Char">
    <w:name w:val="Título 1 Char"/>
    <w:basedOn w:val="Fontepargpadro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Nivel1Char">
    <w:name w:val="Nivel1 Char"/>
    <w:basedOn w:val="Ttulo1Char"/>
    <w:qFormat/>
    <w:rPr>
      <w:rFonts w:ascii="Arial" w:eastAsia="Times New Roman" w:hAnsi="Arial" w:cs="Arial"/>
      <w:b/>
      <w:bCs/>
      <w:color w:val="365F91"/>
      <w:sz w:val="28"/>
      <w:szCs w:val="28"/>
    </w:rPr>
  </w:style>
  <w:style w:type="character" w:styleId="Refdecomentrio">
    <w:name w:val="annotation reference"/>
    <w:basedOn w:val="Fontepargpadro"/>
    <w:qFormat/>
    <w:rPr>
      <w:sz w:val="16"/>
      <w:szCs w:val="16"/>
    </w:rPr>
  </w:style>
  <w:style w:type="character" w:customStyle="1" w:styleId="TextodecomentrioChar">
    <w:name w:val="Texto de comentário Char"/>
    <w:basedOn w:val="Fontepargpadro"/>
    <w:qFormat/>
    <w:rPr>
      <w:rFonts w:ascii="Ecofont_Spranq_eco_Sans" w:hAnsi="Ecofont_Spranq_eco_Sans" w:cs="Tahoma"/>
    </w:rPr>
  </w:style>
  <w:style w:type="character" w:customStyle="1" w:styleId="AssuntodocomentrioChar">
    <w:name w:val="Assunto do comentário Char"/>
    <w:basedOn w:val="TextodecomentrioChar"/>
    <w:qFormat/>
    <w:rPr>
      <w:rFonts w:ascii="Ecofont_Spranq_eco_Sans" w:hAnsi="Ecofont_Spranq_eco_Sans" w:cs="Tahoma"/>
      <w:b/>
      <w:bCs/>
    </w:rPr>
  </w:style>
  <w:style w:type="character" w:customStyle="1" w:styleId="TextodebaloChar">
    <w:name w:val="Texto de balão Char"/>
    <w:basedOn w:val="Fontepargpadro"/>
    <w:qFormat/>
    <w:rPr>
      <w:rFonts w:ascii="Segoe UI" w:hAnsi="Segoe UI" w:cs="Segoe UI"/>
      <w:sz w:val="18"/>
      <w:szCs w:val="18"/>
    </w:rPr>
  </w:style>
  <w:style w:type="character" w:customStyle="1" w:styleId="Nivel01Char">
    <w:name w:val="Nivel 01 Char"/>
    <w:basedOn w:val="Fontepargpadro"/>
    <w:qFormat/>
    <w:rPr>
      <w:rFonts w:ascii="Arial" w:eastAsia="Times New Roman" w:hAnsi="Arial" w:cs="Arial"/>
      <w:b/>
      <w:bCs/>
      <w:lang w:eastAsia="en-US"/>
    </w:rPr>
  </w:style>
  <w:style w:type="character" w:customStyle="1" w:styleId="Nivel2Char">
    <w:name w:val="Nivel 2 Char"/>
    <w:basedOn w:val="Fontepargpadro"/>
    <w:qFormat/>
    <w:rPr>
      <w:rFonts w:ascii="Arial" w:hAnsi="Arial" w:cs="Arial"/>
    </w:rPr>
  </w:style>
  <w:style w:type="character" w:customStyle="1" w:styleId="Nvel2-RedChar">
    <w:name w:val="Nível 2 -Red Char"/>
    <w:basedOn w:val="Nivel2Char"/>
    <w:qFormat/>
    <w:rPr>
      <w:rFonts w:ascii="Arial" w:hAnsi="Arial" w:cs="Arial"/>
      <w:i/>
      <w:iCs/>
      <w:color w:val="FF0000"/>
    </w:rPr>
  </w:style>
  <w:style w:type="character" w:customStyle="1" w:styleId="ouChar">
    <w:name w:val="ou Char"/>
    <w:basedOn w:val="Fontepargpadro"/>
    <w:qFormat/>
    <w:rPr>
      <w:rFonts w:ascii="Arial" w:eastAsia="Calibri" w:hAnsi="Arial" w:cs="Arial"/>
      <w:b/>
      <w:bCs/>
      <w:i/>
      <w:iCs/>
      <w:color w:val="FF0000"/>
      <w:szCs w:val="24"/>
      <w:u w:val="single"/>
    </w:rPr>
  </w:style>
  <w:style w:type="character" w:customStyle="1" w:styleId="Nvel3-RChar">
    <w:name w:val="Nível 3-R Char"/>
    <w:basedOn w:val="Fontepargpadro"/>
    <w:qFormat/>
    <w:rPr>
      <w:rFonts w:ascii="Arial" w:eastAsia="Times New Roman" w:hAnsi="Arial" w:cs="Arial"/>
      <w:i/>
      <w:iCs/>
      <w:color w:val="FF0000"/>
    </w:rPr>
  </w:style>
  <w:style w:type="character" w:customStyle="1" w:styleId="Nvel3Char">
    <w:name w:val="Nível 3 Char"/>
    <w:basedOn w:val="Nvel3-R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Nvel4Char">
    <w:name w:val="Nível 4 Char"/>
    <w:basedOn w:val="Nvel3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SubTitNNChar">
    <w:name w:val="SubTitNN Char"/>
    <w:basedOn w:val="Fontepargpadro"/>
    <w:qFormat/>
    <w:rPr>
      <w:rFonts w:ascii="Arial" w:hAnsi="Arial" w:cs="Arial"/>
      <w:b/>
      <w:bCs/>
      <w:iCs/>
    </w:rPr>
  </w:style>
  <w:style w:type="character" w:customStyle="1" w:styleId="Forte1">
    <w:name w:val="Forte1"/>
    <w:basedOn w:val="Fontepargpadro"/>
    <w:qFormat/>
    <w:rPr>
      <w:b/>
      <w:bCs/>
    </w:rPr>
  </w:style>
  <w:style w:type="character" w:customStyle="1" w:styleId="object">
    <w:name w:val="object"/>
    <w:basedOn w:val="Fontepargpadro"/>
    <w:qFormat/>
    <w:rsid w:val="00050B46"/>
  </w:style>
  <w:style w:type="character" w:customStyle="1" w:styleId="object-hover">
    <w:name w:val="object-hover"/>
    <w:basedOn w:val="Fontepargpadro"/>
    <w:qFormat/>
    <w:rsid w:val="00050B46"/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before="280" w:after="280"/>
    </w:pPr>
    <w:rPr>
      <w:rFonts w:ascii="Times New Roman" w:hAnsi="Times New Roman" w:cs="Times New Roman"/>
    </w:r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GradeColorida-nfase11">
    <w:name w:val="Grade Colorida - Ênfase 11"/>
    <w:basedOn w:val="Normal"/>
    <w:next w:val="Normal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lang w:eastAsia="en-US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citao2">
    <w:name w:val="citação 2"/>
    <w:basedOn w:val="Citao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lang w:eastAsia="en-US"/>
    </w:rPr>
  </w:style>
  <w:style w:type="paragraph" w:styleId="Citao">
    <w:name w:val="Quote"/>
    <w:basedOn w:val="Normal"/>
    <w:next w:val="Normal"/>
    <w:qFormat/>
    <w:rPr>
      <w:i/>
      <w:iCs/>
      <w:color w:val="000000"/>
    </w:rPr>
  </w:style>
  <w:style w:type="paragraph" w:customStyle="1" w:styleId="Nivel1">
    <w:name w:val="Nivel1"/>
    <w:basedOn w:val="Ttulo1"/>
    <w:next w:val="Normal"/>
    <w:qFormat/>
    <w:pPr>
      <w:widowControl w:val="0"/>
      <w:spacing w:after="120" w:line="276" w:lineRule="auto"/>
      <w:ind w:left="360" w:hanging="360"/>
      <w:jc w:val="both"/>
      <w:outlineLvl w:val="9"/>
    </w:pPr>
    <w:rPr>
      <w:rFonts w:ascii="Arial" w:hAnsi="Arial" w:cs="Arial"/>
      <w:color w:val="auto"/>
      <w:sz w:val="20"/>
      <w:szCs w:val="20"/>
    </w:rPr>
  </w:style>
  <w:style w:type="paragraph" w:customStyle="1" w:styleId="Nivel01">
    <w:name w:val="Nivel 01"/>
    <w:basedOn w:val="Ttulo1"/>
    <w:next w:val="Normal"/>
    <w:qFormat/>
    <w:pPr>
      <w:tabs>
        <w:tab w:val="left" w:pos="567"/>
      </w:tabs>
      <w:spacing w:before="120" w:after="120" w:line="276" w:lineRule="auto"/>
      <w:jc w:val="both"/>
      <w:outlineLvl w:val="9"/>
    </w:pPr>
    <w:rPr>
      <w:rFonts w:ascii="Arial" w:hAnsi="Arial" w:cs="Arial"/>
      <w:color w:val="auto"/>
      <w:sz w:val="20"/>
      <w:szCs w:val="20"/>
      <w:lang w:eastAsia="en-US"/>
    </w:rPr>
  </w:style>
  <w:style w:type="paragraph" w:styleId="Textodecomentrio">
    <w:name w:val="annotation text"/>
    <w:basedOn w:val="Normal"/>
    <w:qFormat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qFormat/>
    <w:rsid w:val="00607E92"/>
    <w:rPr>
      <w:rFonts w:asciiTheme="minorHAnsi" w:hAnsiTheme="minorHAnsi"/>
      <w:b/>
      <w:bCs/>
      <w:sz w:val="24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styleId="Reviso">
    <w:name w:val="Revision"/>
    <w:qFormat/>
    <w:rPr>
      <w:rFonts w:ascii="Ecofont_Spranq_eco_Sans" w:hAnsi="Ecofont_Spranq_eco_Sans" w:cs="Tahoma"/>
      <w:szCs w:val="24"/>
    </w:rPr>
  </w:style>
  <w:style w:type="paragraph" w:customStyle="1" w:styleId="Nivel2">
    <w:name w:val="Nivel 2"/>
    <w:basedOn w:val="Normal"/>
    <w:qFormat/>
    <w:pPr>
      <w:spacing w:before="120" w:after="120" w:line="276" w:lineRule="auto"/>
      <w:jc w:val="both"/>
    </w:pPr>
    <w:rPr>
      <w:rFonts w:ascii="Arial" w:hAnsi="Arial" w:cs="Arial"/>
      <w:sz w:val="20"/>
      <w:szCs w:val="20"/>
    </w:rPr>
  </w:style>
  <w:style w:type="paragraph" w:customStyle="1" w:styleId="Nvel2-Red">
    <w:name w:val="Nível 2 -Red"/>
    <w:basedOn w:val="Nivel2"/>
    <w:qFormat/>
    <w:rPr>
      <w:i/>
      <w:iCs/>
      <w:color w:val="FF0000"/>
    </w:rPr>
  </w:style>
  <w:style w:type="paragraph" w:customStyle="1" w:styleId="ou">
    <w:name w:val="ou"/>
    <w:basedOn w:val="PargrafodaLista"/>
    <w:qFormat/>
    <w:pPr>
      <w:spacing w:before="60" w:after="60" w:line="259" w:lineRule="auto"/>
      <w:ind w:left="0"/>
      <w:contextualSpacing w:val="0"/>
      <w:jc w:val="center"/>
    </w:pPr>
    <w:rPr>
      <w:rFonts w:ascii="Arial" w:eastAsia="Calibri" w:hAnsi="Arial" w:cs="Arial"/>
      <w:b/>
      <w:bCs/>
      <w:i/>
      <w:iCs/>
      <w:color w:val="FF0000"/>
      <w:sz w:val="20"/>
      <w:u w:val="single"/>
    </w:rPr>
  </w:style>
  <w:style w:type="paragraph" w:customStyle="1" w:styleId="Nvel3-R">
    <w:name w:val="Nível 3-R"/>
    <w:basedOn w:val="Normal"/>
    <w:qFormat/>
    <w:pPr>
      <w:spacing w:before="120" w:after="120" w:line="276" w:lineRule="auto"/>
      <w:ind w:left="284"/>
      <w:jc w:val="both"/>
    </w:pPr>
    <w:rPr>
      <w:rFonts w:ascii="Arial" w:hAnsi="Arial" w:cs="Arial"/>
      <w:i/>
      <w:iCs/>
      <w:color w:val="FF0000"/>
      <w:sz w:val="20"/>
      <w:szCs w:val="20"/>
    </w:rPr>
  </w:style>
  <w:style w:type="paragraph" w:customStyle="1" w:styleId="Nvel3">
    <w:name w:val="Nível 3"/>
    <w:basedOn w:val="Nvel3-R"/>
    <w:qFormat/>
    <w:rPr>
      <w:i w:val="0"/>
      <w:iCs w:val="0"/>
      <w:color w:val="auto"/>
    </w:rPr>
  </w:style>
  <w:style w:type="paragraph" w:customStyle="1" w:styleId="Nvel4">
    <w:name w:val="Nível 4"/>
    <w:basedOn w:val="Nvel3"/>
    <w:qFormat/>
    <w:pPr>
      <w:ind w:left="567"/>
    </w:pPr>
  </w:style>
  <w:style w:type="paragraph" w:customStyle="1" w:styleId="SubTitNN">
    <w:name w:val="SubTitNN"/>
    <w:basedOn w:val="Normal"/>
    <w:qFormat/>
    <w:pPr>
      <w:spacing w:before="240" w:after="120" w:line="276" w:lineRule="auto"/>
      <w:jc w:val="both"/>
    </w:pPr>
    <w:rPr>
      <w:rFonts w:ascii="Arial" w:hAnsi="Arial" w:cs="Arial"/>
      <w:b/>
      <w:bCs/>
      <w:iCs/>
      <w:sz w:val="20"/>
      <w:szCs w:val="20"/>
    </w:rPr>
  </w:style>
  <w:style w:type="paragraph" w:customStyle="1" w:styleId="corpo">
    <w:name w:val="corpo"/>
    <w:basedOn w:val="Normal"/>
    <w:qFormat/>
    <w:pPr>
      <w:widowControl w:val="0"/>
      <w:ind w:firstLine="567"/>
      <w:jc w:val="both"/>
    </w:pPr>
    <w:rPr>
      <w:sz w:val="22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western">
    <w:name w:val="western"/>
    <w:basedOn w:val="Normal"/>
    <w:qFormat/>
    <w:rsid w:val="00050B46"/>
    <w:pPr>
      <w:suppressAutoHyphens w:val="0"/>
      <w:spacing w:beforeAutospacing="1" w:afterAutospacing="1"/>
    </w:pPr>
    <w:rPr>
      <w:rFonts w:ascii="Times New Roman" w:hAnsi="Times New Roman" w:cs="Times New Roman"/>
    </w:rPr>
  </w:style>
  <w:style w:type="table" w:styleId="Tabelacomgrade">
    <w:name w:val="Table Grid"/>
    <w:basedOn w:val="Tabelanormal"/>
    <w:uiPriority w:val="39"/>
    <w:rsid w:val="00E303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38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7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733B6-C39B-4E97-BF66-039D42CB7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9</Pages>
  <Words>2611</Words>
  <Characters>14105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K</dc:creator>
  <dc:description/>
  <cp:lastModifiedBy>Guilherme K</cp:lastModifiedBy>
  <cp:revision>54</cp:revision>
  <dcterms:created xsi:type="dcterms:W3CDTF">2023-09-10T00:11:00Z</dcterms:created>
  <dcterms:modified xsi:type="dcterms:W3CDTF">2024-08-20T03:14:00Z</dcterms:modified>
  <dc:language>pt-BR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0x01010012A2765E7DFD38469B2E626874CD0041</vt:lpwstr>
  </property>
</Properties>
</file>