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GRUPAMENTO DE FUZILEIROS NAVAIS DE BRASÍLIA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787200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62055.002436/2023-50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04/2023 desta organização militar, nos termos do art. 18 ao 27 da Lei nº 14.133, de 1º de abril de 2021, cujo objeto é a aquisição de Material de Pintura.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109</w:t>
      </w:r>
    </w:p>
    <w:p w14:paraId="3EFA7543" w14:textId="32B5F91F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 xml:space="preserve">787200</w:t>
      </w:r>
      <w:r w:rsidR="00237546">
        <w:rPr>
          <w:rStyle w:val="Carlito"/>
        </w:rPr>
        <w:t xml:space="preserve"> </w:t>
      </w:r>
      <w:r w:rsidR="00237546" w:rsidRPr="00237546">
        <w:rPr>
          <w:rStyle w:val="Carlito"/>
          <w:color w:val="FF0000"/>
          <w:highlight w:val="yellow"/>
        </w:rPr>
        <w:t xml:space="preserve">Material de Pintura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 xml:space="preserve">GRUPAMENTO DE FUZILEIROS NAVAIS DE BRASÍLIA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GptFNB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37546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35</cp:revision>
  <dcterms:created xsi:type="dcterms:W3CDTF">2023-11-10T23:48:00Z</dcterms:created>
  <dcterms:modified xsi:type="dcterms:W3CDTF">2024-04-09T14:11:00Z</dcterms:modified>
  <dc:language>pt-BR</dc:language>
  <dc:identifier/>
</cp:coreProperties>
</file>