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E613A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3DE6F83" wp14:editId="4768C7C3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DC70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MARINHA DO BRASIL</w:t>
      </w:r>
    </w:p>
    <w:p w14:paraId="2079A3E2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 xml:space="preserve">CENTRO DE INTENDÊNCIA DA MARINHA EM BRASÍLIA </w:t>
      </w:r>
    </w:p>
    <w:p w14:paraId="7590DDDB" w14:textId="77777777" w:rsidR="00D73757" w:rsidRDefault="00D73757" w:rsidP="00D73757">
      <w:pPr>
        <w:spacing w:after="0"/>
        <w:jc w:val="center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PREGÃO ELETRÔNICO Nº 16/2024</w:t>
      </w:r>
    </w:p>
    <w:p w14:paraId="519C02B5" w14:textId="77777777" w:rsidR="00D73757" w:rsidRDefault="00D73757" w:rsidP="00D73757">
      <w:pPr>
        <w:spacing w:before="2" w:after="0"/>
        <w:ind w:left="3252"/>
        <w:rPr>
          <w:rFonts w:ascii="Carlito" w:hAnsi="Carlito"/>
          <w:b/>
          <w:color w:val="000000"/>
          <w:sz w:val="24"/>
          <w:szCs w:val="24"/>
          <w:lang w:val="pt-BR"/>
        </w:rPr>
      </w:pPr>
    </w:p>
    <w:p w14:paraId="6920C62C" w14:textId="77777777" w:rsidR="00D73757" w:rsidRDefault="00D73757" w:rsidP="00D73757">
      <w:pPr>
        <w:spacing w:before="2" w:after="0"/>
        <w:jc w:val="center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PLANO</w:t>
      </w:r>
      <w:r>
        <w:rPr>
          <w:rFonts w:ascii="Carlito" w:hAnsi="Carlito"/>
          <w:b/>
          <w:bCs/>
          <w:spacing w:val="2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GESTÃO</w:t>
      </w:r>
      <w:r>
        <w:rPr>
          <w:rFonts w:ascii="Carlito" w:hAnsi="Carlito"/>
          <w:b/>
          <w:bCs/>
          <w:spacing w:val="20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DE</w:t>
      </w:r>
      <w:r>
        <w:rPr>
          <w:rFonts w:ascii="Carlito" w:hAnsi="Carlito"/>
          <w:b/>
          <w:bCs/>
          <w:spacing w:val="-4"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pacing w:val="-10"/>
          <w:sz w:val="24"/>
          <w:szCs w:val="24"/>
          <w:lang w:val="pt-BR"/>
        </w:rPr>
        <w:t>RISCOS</w:t>
      </w:r>
    </w:p>
    <w:p w14:paraId="295F7FD2" w14:textId="77777777" w:rsidR="00D73757" w:rsidRDefault="00D73757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1. INFORMAÇÕES BÁSICAS</w:t>
      </w:r>
    </w:p>
    <w:p w14:paraId="4FB75C1A" w14:textId="77777777" w:rsidR="00D73757" w:rsidRDefault="00D73757" w:rsidP="00D73757">
      <w:pPr>
        <w:spacing w:after="0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color w:val="000000" w:themeColor="text1"/>
          <w:sz w:val="24"/>
          <w:szCs w:val="24"/>
          <w:lang w:val="pt-BR"/>
        </w:rPr>
        <w:t xml:space="preserve">Processo Administrativo: </w:t>
      </w:r>
      <w:r>
        <w:rPr>
          <w:rFonts w:ascii="Carlito" w:hAnsi="Carlito"/>
          <w:color w:val="000000" w:themeColor="text1"/>
          <w:sz w:val="24"/>
          <w:szCs w:val="24"/>
          <w:lang w:val="pt-BR"/>
        </w:rPr>
        <w:t>634</w:t>
      </w:r>
      <w:r>
        <w:rPr>
          <w:rFonts w:ascii="Carlito" w:hAnsi="Carlito"/>
          <w:sz w:val="24"/>
          <w:szCs w:val="24"/>
          <w:lang w:val="pt-BR"/>
        </w:rPr>
        <w:t>02.000319/2024-16</w:t>
      </w:r>
    </w:p>
    <w:p w14:paraId="48552FDB" w14:textId="77777777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 xml:space="preserve">Objeto: </w:t>
      </w:r>
      <w:r>
        <w:rPr>
          <w:rFonts w:ascii="Carlito" w:hAnsi="Carlito"/>
          <w:sz w:val="24"/>
          <w:szCs w:val="24"/>
          <w:lang w:val="pt-BR"/>
        </w:rPr>
        <w:t>Material para Copa e Cozinha</w:t>
      </w:r>
    </w:p>
    <w:p w14:paraId="0719B94E" w14:textId="77777777" w:rsidR="00D73757" w:rsidRDefault="00D73757" w:rsidP="00D73757">
      <w:pPr>
        <w:spacing w:after="0"/>
        <w:jc w:val="both"/>
      </w:pPr>
      <w:r>
        <w:rPr>
          <w:rFonts w:ascii="Carlito" w:hAnsi="Carlito"/>
          <w:b/>
          <w:bCs/>
          <w:sz w:val="24"/>
          <w:szCs w:val="24"/>
          <w:lang w:val="pt-BR"/>
        </w:rPr>
        <w:t>Setor Demandante:</w:t>
      </w:r>
      <w:r>
        <w:rPr>
          <w:rFonts w:ascii="Carlito" w:hAnsi="Carlito"/>
          <w:sz w:val="24"/>
          <w:szCs w:val="24"/>
          <w:lang w:val="pt-BR"/>
        </w:rPr>
        <w:t xml:space="preserve"> Divisão de Municiamento</w:t>
      </w:r>
    </w:p>
    <w:p w14:paraId="6C3A55CE" w14:textId="4C01ED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2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 IDENTIFI</w:t>
      </w:r>
      <w:r>
        <w:rPr>
          <w:rFonts w:ascii="Carlito" w:hAnsi="Carlito"/>
          <w:b/>
          <w:bCs/>
          <w:sz w:val="24"/>
          <w:szCs w:val="24"/>
          <w:lang w:val="pt-BR"/>
        </w:rPr>
        <w:t>CAÇÃO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</w:t>
      </w:r>
      <w:r>
        <w:rPr>
          <w:rFonts w:ascii="Carlito" w:hAnsi="Carlito"/>
          <w:b/>
          <w:bCs/>
          <w:sz w:val="24"/>
          <w:szCs w:val="24"/>
          <w:lang w:val="pt-BR"/>
        </w:rPr>
        <w:t>D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OS RISCOS</w:t>
      </w:r>
    </w:p>
    <w:p w14:paraId="14FAA062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A identificação dos riscos é o primeiro passo crítico no processo de Gerenciamento de Riscos, desempenhando um papel fundamental para assegurar o sucesso do projeto durante a fase de Planejamento da Contratação. Esta etapa envolve a determinação sistemática de eventos potenciais que poderiam comprometer a realização dos objetivos do projeto.</w:t>
      </w:r>
      <w:r w:rsidRPr="00787CAE">
        <w:rPr>
          <w:rFonts w:ascii="Carlito" w:hAnsi="Carlito"/>
          <w:sz w:val="24"/>
          <w:szCs w:val="24"/>
          <w:lang w:val="pt-BR"/>
        </w:rPr>
        <w:tab/>
      </w:r>
    </w:p>
    <w:p w14:paraId="6DE7980E" w14:textId="77777777" w:rsidR="00D73757" w:rsidRPr="00787CAE" w:rsidRDefault="00D73757" w:rsidP="00D73757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  <w:t>Os riscos identificados por meio deste processo são catalogados no item 5. Esta lista abrangente serve como um registro inicial para análises subsequentes e para a implementação de estratégias de mitigação. A identificação efetiva dos riscos é crucial, pois fornece a base para todas as etapas subsequentes do gerenciamento de riscos, garantindo que medidas preventivas e planos de contingência sejam adequadamente orientados para enfrentar os desafios mais pertinentes.</w:t>
      </w:r>
    </w:p>
    <w:p w14:paraId="68C143B9" w14:textId="7EEB86B3" w:rsidR="00D73757" w:rsidRPr="00787CAE" w:rsidRDefault="00787CAE" w:rsidP="00D73757">
      <w:pPr>
        <w:spacing w:before="171" w:after="171"/>
        <w:jc w:val="both"/>
        <w:rPr>
          <w:rFonts w:ascii="Carlito" w:hAnsi="Carlito"/>
          <w:b/>
          <w:bCs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3.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 xml:space="preserve"> ANÁLISE DOS RISCOS</w:t>
      </w:r>
    </w:p>
    <w:p w14:paraId="39066DDB" w14:textId="77777777" w:rsidR="00787CAE" w:rsidRPr="00787CAE" w:rsidRDefault="00D73757" w:rsidP="00787CAE">
      <w:pPr>
        <w:spacing w:after="0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ab/>
      </w:r>
      <w:r w:rsidR="00787CAE" w:rsidRPr="00787CAE">
        <w:rPr>
          <w:rFonts w:ascii="Carlito" w:hAnsi="Carlito"/>
          <w:sz w:val="24"/>
          <w:szCs w:val="24"/>
          <w:lang w:val="pt-BR"/>
        </w:rPr>
        <w:t xml:space="preserve">Apresenta-se a análise de riscos referente às fases de planejamento da contratação, seleção do fornecedor e gestão e fiscalização do contrato, de acordo com os termos estabelecidos na IN SEGES nº 5/2017, Seção III. </w:t>
      </w:r>
    </w:p>
    <w:p w14:paraId="13E0E123" w14:textId="77777777" w:rsidR="00787CAE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partir da identificação dos riscos e da respectiva probabilidade de ocorrência e impacto, é possível definir a resposta aos riscos – reduzir, evitar, aceitar ou compartilhar - e estabelecer estratégias para cada situação.</w:t>
      </w:r>
    </w:p>
    <w:p w14:paraId="0B738412" w14:textId="10E3F2A8" w:rsidR="00D73757" w:rsidRPr="00787CAE" w:rsidRDefault="00787CAE" w:rsidP="00787CAE">
      <w:pPr>
        <w:spacing w:after="0"/>
        <w:ind w:firstLine="708"/>
        <w:jc w:val="both"/>
        <w:rPr>
          <w:rFonts w:ascii="Carlito" w:hAnsi="Carlito"/>
          <w:sz w:val="24"/>
          <w:szCs w:val="24"/>
          <w:lang w:val="pt-BR"/>
        </w:rPr>
      </w:pPr>
      <w:r w:rsidRPr="00787CAE">
        <w:rPr>
          <w:rFonts w:ascii="Carlito" w:hAnsi="Carlito"/>
          <w:sz w:val="24"/>
          <w:szCs w:val="24"/>
          <w:lang w:val="pt-BR"/>
        </w:rPr>
        <w:t>A classificação qualitativa dos riscos foi realizada em termos de probabilidade de ocorrência e potencial impacto. Para tanto, foram utilizadas as seguintes escalas.</w:t>
      </w:r>
    </w:p>
    <w:p w14:paraId="699E6EB2" w14:textId="47767483" w:rsidR="00D73757" w:rsidRPr="00787CAE" w:rsidRDefault="00787CAE" w:rsidP="00D73757">
      <w:pPr>
        <w:jc w:val="both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bCs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bCs/>
          <w:sz w:val="24"/>
          <w:szCs w:val="24"/>
          <w:lang w:val="pt-BR"/>
        </w:rPr>
        <w:t>.1. Probabilidade de Ocorrência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5836AEDF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E0987C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EABE2FF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3301F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2EBEB79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4DF94A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055A261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Raro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0433E6E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Acontece em situações excepcionais.</w:t>
            </w:r>
          </w:p>
        </w:tc>
      </w:tr>
      <w:tr w:rsidR="00D73757" w:rsidRPr="00787CAE" w14:paraId="600E4FD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596B79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20EBF06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Pouco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C343D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casual, inesperado, muito embora raro, há histórico de sua ocorrência.</w:t>
            </w:r>
          </w:p>
        </w:tc>
      </w:tr>
      <w:tr w:rsidR="00D73757" w:rsidRPr="00787CAE" w14:paraId="731785A7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019E8E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D090B8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B646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esperado, que se traduz com frequência reduzida, porém constante.</w:t>
            </w:r>
          </w:p>
        </w:tc>
      </w:tr>
      <w:tr w:rsidR="00D73757" w:rsidRPr="00787CAE" w14:paraId="567EA83D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86F4762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1012743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provável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010DE4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Evento corriqueiro. Devido à sua ocorrência habitual em processos licitatórios possui histórico altamente conhecido nos processos de obtenção.</w:t>
            </w:r>
          </w:p>
        </w:tc>
      </w:tr>
      <w:tr w:rsidR="00D73757" w:rsidRPr="00787CAE" w14:paraId="674C58EB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408FFC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8496A67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Praticamente certo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83EDF3" w14:textId="77777777" w:rsidR="00D73757" w:rsidRPr="00787CAE" w:rsidRDefault="00D73757" w:rsidP="00CD3FCB">
            <w:pPr>
              <w:pStyle w:val="Corpodetexto"/>
              <w:widowControl w:val="0"/>
              <w:spacing w:after="0" w:line="240" w:lineRule="auto"/>
              <w:jc w:val="both"/>
              <w:rPr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Ocorrência quase garantida.</w:t>
            </w:r>
          </w:p>
        </w:tc>
      </w:tr>
    </w:tbl>
    <w:p w14:paraId="76FC20CF" w14:textId="63809FB7" w:rsidR="00D73757" w:rsidRPr="00787CAE" w:rsidRDefault="00787CAE" w:rsidP="00D73757">
      <w:pPr>
        <w:spacing w:before="171" w:after="171"/>
        <w:rPr>
          <w:rFonts w:ascii="Carlito" w:hAnsi="Carlito"/>
          <w:sz w:val="24"/>
          <w:szCs w:val="24"/>
          <w:lang w:val="pt-BR"/>
        </w:rPr>
      </w:pPr>
      <w:r>
        <w:rPr>
          <w:rFonts w:ascii="Carlito" w:hAnsi="Carlito"/>
          <w:b/>
          <w:color w:val="000000"/>
          <w:sz w:val="24"/>
          <w:szCs w:val="24"/>
          <w:lang w:val="pt-BR"/>
        </w:rPr>
        <w:t>3</w:t>
      </w:r>
      <w:r w:rsidR="00D73757" w:rsidRPr="00787CAE">
        <w:rPr>
          <w:rFonts w:ascii="Carlito" w:hAnsi="Carlito"/>
          <w:b/>
          <w:color w:val="000000"/>
          <w:sz w:val="24"/>
          <w:szCs w:val="24"/>
          <w:lang w:val="pt-BR"/>
        </w:rPr>
        <w:t>.2. Avaliação Qualitativa de Impacto</w:t>
      </w:r>
    </w:p>
    <w:tbl>
      <w:tblPr>
        <w:tblW w:w="9721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1"/>
        <w:gridCol w:w="1559"/>
        <w:gridCol w:w="7371"/>
      </w:tblGrid>
      <w:tr w:rsidR="00D73757" w:rsidRPr="00787CAE" w14:paraId="13BBF8E9" w14:textId="77777777" w:rsidTr="00D73757">
        <w:trPr>
          <w:trHeight w:val="109"/>
        </w:trPr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4183A58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NÍVEL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14:paraId="7272F1E7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VALOR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14:paraId="3EB7296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b/>
                <w:bCs/>
                <w:lang w:val="pt-BR"/>
              </w:rPr>
            </w:pPr>
            <w:r w:rsidRPr="00787CAE">
              <w:rPr>
                <w:rFonts w:ascii="Carlito" w:hAnsi="Carlito"/>
                <w:b/>
                <w:bCs/>
                <w:lang w:val="pt-BR"/>
              </w:rPr>
              <w:t>DESCRIÇÃO</w:t>
            </w:r>
          </w:p>
        </w:tc>
      </w:tr>
      <w:tr w:rsidR="00D73757" w:rsidRPr="00787CAE" w14:paraId="1D7BA1D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D48C7B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C23168A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24A285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minimamente o atingimento do objetivo; para fins práticos, não altera o alcance do objetivo/resultado.</w:t>
            </w:r>
          </w:p>
        </w:tc>
      </w:tr>
      <w:tr w:rsidR="00D73757" w:rsidRPr="00787CAE" w14:paraId="6EFE6B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2AFD2AB9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4D5CBEB8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Baixo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0D6591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 xml:space="preserve">Degradação das operações, </w:t>
            </w:r>
            <w:proofErr w:type="gramStart"/>
            <w:r w:rsidRPr="00787CAE">
              <w:rPr>
                <w:rFonts w:ascii="Carlito" w:hAnsi="Carlito"/>
                <w:lang w:val="pt-BR"/>
              </w:rPr>
              <w:t>atividades projetos</w:t>
            </w:r>
            <w:proofErr w:type="gramEnd"/>
            <w:r w:rsidRPr="00787CAE">
              <w:rPr>
                <w:rFonts w:ascii="Carlito" w:hAnsi="Carlito"/>
                <w:lang w:val="pt-BR"/>
              </w:rPr>
              <w:t>, programas ou processos da organização, causando pequenos impactos na consecução dos objetivos.</w:t>
            </w:r>
          </w:p>
        </w:tc>
      </w:tr>
      <w:tr w:rsidR="00D73757" w:rsidRPr="00787CAE" w14:paraId="11A4A27C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17D687C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3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331E3D7B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Médio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A2968C2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Interrupção de operações, atividades, projetos, programas ou processos da organização, causando impactos significativos nos objetivos, porém recuperáveis.</w:t>
            </w:r>
          </w:p>
        </w:tc>
      </w:tr>
      <w:tr w:rsidR="00D73757" w:rsidRPr="00787CAE" w14:paraId="6D72C1E0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73FA37E0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13E7B7E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147900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Interrupção de operações, atividades, projetos, programas ou processos da organização causando impactos de reversão muito difícil nos objetivos.</w:t>
            </w:r>
          </w:p>
        </w:tc>
      </w:tr>
      <w:tr w:rsidR="00D73757" w:rsidRPr="00787CAE" w14:paraId="0E3C8C48" w14:textId="77777777" w:rsidTr="00D73757">
        <w:tc>
          <w:tcPr>
            <w:tcW w:w="79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66849626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5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07811FAD" w14:textId="77777777" w:rsidR="00D73757" w:rsidRPr="00787CAE" w:rsidRDefault="00D73757" w:rsidP="00CD3FCB">
            <w:pPr>
              <w:pStyle w:val="Contedodatabela"/>
              <w:spacing w:after="0" w:line="240" w:lineRule="auto"/>
              <w:jc w:val="center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Muito alto</w:t>
            </w:r>
          </w:p>
        </w:tc>
        <w:tc>
          <w:tcPr>
            <w:tcW w:w="73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A8EA96" w14:textId="77777777" w:rsidR="00D73757" w:rsidRPr="00787CAE" w:rsidRDefault="00D73757" w:rsidP="00CD3FCB">
            <w:pPr>
              <w:pStyle w:val="Contedodatabela"/>
              <w:spacing w:after="0" w:line="240" w:lineRule="auto"/>
              <w:jc w:val="both"/>
              <w:rPr>
                <w:rFonts w:ascii="Carlito" w:hAnsi="Carlito"/>
                <w:lang w:val="pt-BR"/>
              </w:rPr>
            </w:pPr>
            <w:r w:rsidRPr="00787CAE">
              <w:rPr>
                <w:rFonts w:ascii="Carlito" w:hAnsi="Carlito"/>
                <w:lang w:val="pt-BR"/>
              </w:rPr>
              <w:t>Compromete totalmente ou quase totalmente o atingimento do objetivo/resultado.</w:t>
            </w:r>
          </w:p>
        </w:tc>
      </w:tr>
    </w:tbl>
    <w:p w14:paraId="76E5C6AC" w14:textId="77777777" w:rsidR="00CB292B" w:rsidRPr="00787CAE" w:rsidRDefault="00CB292B">
      <w:pPr>
        <w:rPr>
          <w:lang w:val="pt-BR"/>
        </w:rPr>
      </w:pPr>
    </w:p>
    <w:p w14:paraId="03E30960" w14:textId="77777777" w:rsidR="00787CAE" w:rsidRPr="00787CAE" w:rsidRDefault="00787CAE">
      <w:pPr>
        <w:rPr>
          <w:lang w:val="pt-BR"/>
        </w:rPr>
      </w:pPr>
      <w:r w:rsidRPr="00787CAE">
        <w:rPr>
          <w:lang w:val="pt-BR"/>
        </w:rPr>
        <w:t>) A análise de riscos deve ser realizada durante o Planejamento da Contratação (antes da publicação do Edital) e deve abordar riscos relevantes até o encerramento da contratação; b) O Mapa de riscos deve ser atualizado a medida em que se avança as etapas da contratação; c) Deve-se incluir linhas de “eventos de risco” e “participantes da análise” conforme a necessidade; d) Atentar para o número sequencial dos eventos de riscos para futuras referências; e) Para as ações preventivas, recomenda-se incluir prazo ou referência temporal;</w:t>
      </w:r>
    </w:p>
    <w:p w14:paraId="4C603158" w14:textId="6ABA307D" w:rsidR="00787CAE" w:rsidRPr="00787CAE" w:rsidRDefault="00787CAE">
      <w:pPr>
        <w:rPr>
          <w:lang w:val="pt-BR"/>
        </w:rPr>
      </w:pPr>
      <w:r w:rsidRPr="00787CAE">
        <w:rPr>
          <w:lang w:val="pt-BR"/>
        </w:rPr>
        <w:t>Conceitos básicos: Risco: evento que venha a ter impacto no cumprimento dos objetivos da contratação. O risco é medido em termos de impacto e de probabilidade (inciso XIII, art. 2º, IN CGU/MPOG nº1/2016); Evento de risco: é a materialização do risco que gera algum impacto para a contratação; Dano: impactos decorrentes de um evento de risco que se realizou; Probabilidade: chance de um evento de risco ocorrer; Ação preventiva: atos para diminuir a probabilidade de um risco; Ação de contingência: atos para diminuir o impacto de um risco.</w:t>
      </w:r>
    </w:p>
    <w:p w14:paraId="59D4AC1C" w14:textId="6AF5E377" w:rsidR="00787CAE" w:rsidRPr="00787CAE" w:rsidRDefault="00787CAE">
      <w:pPr>
        <w:rPr>
          <w:lang w:val="pt-BR"/>
        </w:rPr>
      </w:pPr>
      <w:r w:rsidRPr="00787CAE">
        <w:rPr>
          <w:lang w:val="pt-BR"/>
        </w:rPr>
        <w:t>Após a identificação dos riscos e da combinação entre a escala de probabilidades e a escala de impacto de cada um deles, foram obtidos os níveis de risco (nível do risco = nível de probabilidade x nível de consequência). Os riscos estão demonstrados no Mapa de Riscos abaixo.</w:t>
      </w:r>
    </w:p>
    <w:p>
      <w:pPr>
        <w:sectPr>
          <w:pgSz w:w="11906" w:h="16838"/>
          <w:pgMar w:top="1440" w:right="1080" w:bottom="993" w:left="1080" w:header="708" w:footer="708" w:gutter="0"/>
          <w:cols w:space="708"/>
          <w:docGrid w:linePitch="360"/>
        </w:sectPr>
      </w:pPr>
    </w:p>
    <w:p>
      <w:r>
        <w:rPr>
          <w:rFonts w:ascii="Carlito" w:hAnsi="Carlito"/>
          <w:b/>
          <w:sz w:val="28"/>
        </w:rPr>
        <w:t>Planejamento da Contratação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23"/>
        <w:gridCol w:w="2323"/>
        <w:gridCol w:w="2323"/>
        <w:gridCol w:w="2323"/>
        <w:gridCol w:w="2323"/>
        <w:gridCol w:w="2323"/>
        <w:gridCol w:w="2323"/>
      </w:tblGrid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Risco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Causa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Evento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Consequência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I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9feb2b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P*I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R5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Imposição de indicativo de economicidade mínima de 10%.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Falta de assertividade quanto à potencialidade de economia e viabilidade de cumprimento do indicativo. Dificuldade na análise da economia gerada após implantação da solução.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Não atendimento das expectativas de economia de recursos públicos.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00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25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R6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Coleta insuficiente de preços ou falha de método para realizar a estimativa.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Estimativas de custos inadequadas.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Utilização de parâmetro inadequado para análise da viabilidade da contratação; possibilidade de contratação por preços superfaturados ou ocorrência de deserção e dificuldade de justificar as estimativas.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R7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Falta de abrangência da análise de viabilidade da contratação.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Não consideração de todos os aspectos necessários à análise de viabilidade da contratação.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Certame fracassado ou contratação de fornecedor que não é capaz de entregar a solução ou solução que não produz os resultados necessários ao atendimento da demanda.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R8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Declaração imprecisa do objeto.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Compreensão imprecisa da descrição, quantidade ou prazo.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Contratação que não atenda à necessidade da organização.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R9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Declaração imprecisa do objeto.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Inconformidade legal do edital.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Impugnações ao edital; declaração de nulidade dos procedimentos; responsabilização de agente(s) de contratação e/ou gestores.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R10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Definição de mecanismos que propiciem a ingerência da contratante na administração da contratada.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Caracterização de execução indireta ilegal.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Prática de ilícito trabalhista ante os entendimentos contidos na Súmula nº 331/TST.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cbff1e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R11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Subjetividade na definição dos resultados que serão mensurados para fins de remuneração da contratada.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Pagamentos sem que tenham sido realmente entregues resultados que atendem às necessidades da organização e/ou Pagamentos aquém do resultado atingir pelo fornecedor.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Desperdício de recursos públicos e não atendimento das necessidades da organização ou prejuízo financeiro à contratada.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4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dbff15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4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R13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Licitante vencedora apresenta proposta com preços de alguns itens abaixo do mercado (subpreço) e de outros itens acima do mercado (sobrepreço), mas de forma que o valor global de sua proposta seja o menor.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Contratação de proposta que não vantajosa (jogo de planilhas).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Dano ao erário em caso de utilização de quantidade maior dos itens com sobrepreço.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a5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R14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Utilização como critério de julgamento do menor preço global por grupo de itens (lote).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Ata em que o preço registrado global é o mais vantajoso, mas o preço registrado unitário de um ou mais itens pode não ser o menor ou compatível com os preços de mercado.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Contratação por preços unitários acima do mercado, causando dano ao erário.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a5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R15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Responsável pela gestão e fiscalização do contrato não detém as competências multidisciplinares e/ou condições necessárias à execução da atividade.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Gestão e/ou fiscalização inadequada.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Comprometimento do resultado do serviço prestado.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9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R16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Alterações das condições econômico-financeiras do fornecedor.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Descumprimento das condições de habilitação e exigidas na licitação.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Retorno de riscos que foram mitigados por meio dos critérios de habilitação e qualificação da licitação; descontinuidade contratual; pagamento de fornecedor em débito com a fazenda.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a5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R17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Falta de sistematização sobre o que deve ser verificado na fiscalização contratual.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Aceites provisórios e definitivos em objetos parcialmente executados ou não executados.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Pagamento indevido e insatisfação dos usuários.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9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R18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Elementos básicos do contrato não estão claros para as partes.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Diferenças de entendimentos e de expectativas entre as partes.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Falhas na execução do contrato.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9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R19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Inadimplência da contratada.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Descumprimento das obrigações trabalhistas, previdenciárias e para com o FGTS pela contratada.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Responsabilização subsidiária da APF em ações judiciais promovidas pelos empregados alocados na execução do contrato; rescisão contratual; necessidade de contratação emergencial.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a5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R20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Declaração imprecisa do objeto.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Decorrente inadequação dos parâmetros de fiscalização e de gestão contratual definidos no edital e anexos.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Dificuldade acentuada para a realização da fiscalização e da gestão contratual junto à contratada, mediante os parâmetros exigíveis.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</w:tbl>
    <w:p/>
    <w:p>
      <w:r>
        <w:rPr>
          <w:rFonts w:ascii="Carlito" w:hAnsi="Carlito"/>
          <w:b/>
          <w:sz w:val="28"/>
        </w:rPr>
        <w:t>Seleção do Fornecedor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23"/>
        <w:gridCol w:w="2323"/>
        <w:gridCol w:w="2323"/>
        <w:gridCol w:w="2323"/>
        <w:gridCol w:w="2323"/>
        <w:gridCol w:w="2323"/>
        <w:gridCol w:w="2323"/>
      </w:tblGrid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Risco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Causa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Evento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Consequência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I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9feb2b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P*I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R2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Definição de requisitos da contratação insuficientes ou indevidos.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Contratação de solução que não atende à necessidade que originou a contratação.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Mau uso de recursos públicos; ineficácia da prestação dos serviços e problemas de gerenciamento e fiscalização dos contratos advindos da licitação.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R3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Estimativa da quantidade maior ou menor que a necessidade.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Exaurimento do quantitativo da ata antecipado, nos casos de subdimensionamento da necessidade ou de finalização da ata com grande saldo, nos casos de superdimensionamento.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Realização de novo procedimento de registro de preços antes do prazo programado para os casos de subdimensionamento dos quantitativos; Frustração do mercado e preços não condizentes com a expectativa criada nos fornecedores, nos casos de superdimensionamento.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3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4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12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R4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Não parcelar a solução cujo parcelamento é viável.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Restrição à competitividade, principalmente das empresas de pequeno porte. Questionamentos dos órgãos de controle sobre o não parcelamento.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Aumento dos valores contratados; impugnações ao certame; paralisações do certame advindas das diligências de órgãos de controles externos.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2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ffff00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10</w:t>
            </w:r>
          </w:p>
        </w:tc>
      </w:tr>
    </w:tbl>
    <w:p/>
    <w:p>
      <w:r>
        <w:rPr>
          <w:rFonts w:ascii="Carlito" w:hAnsi="Carlito"/>
          <w:b/>
          <w:sz w:val="28"/>
        </w:rPr>
        <w:t>Gestão e Fiscalização do Contrato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323"/>
        <w:gridCol w:w="2323"/>
        <w:gridCol w:w="2323"/>
        <w:gridCol w:w="2323"/>
        <w:gridCol w:w="2323"/>
        <w:gridCol w:w="2323"/>
        <w:gridCol w:w="2323"/>
      </w:tblGrid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Risco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Causa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Evento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Consequência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I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BFBFBF"/>
            <w:shd w:fill="9feb2b"/>
            <w:shd w:fill="CCCCCC"/>
          </w:tcPr>
          <w:p>
            <w:pPr>
              <w:jc w:val="center"/>
            </w:pPr>
            <w:r>
              <w:rPr>
                <w:rFonts w:ascii="Carlito" w:hAnsi="Carlito"/>
                <w:b/>
                <w:sz w:val="20"/>
              </w:rPr>
              <w:t>P*I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Definição de requisitos da contratação insuficientes ou indevidos.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Baixa participação/adesão ao registro de preços.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Risco de imagem para a Central; não atingimento dos objetivos de centralização dos procedimentos de licitação e de padronização da estratégia da contratação, resultando em perdas de economia de escala, visto a baixa participação dos órgãos e entidades da APF.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7E6E6"/>
            <w:shd w:fill="E7E6E6"/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  <w:tr>
        <w:tc>
          <w:tcPr>
            <w:tcW w:type="dxa" w:w="72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R12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Empresas sem qualificação econômico-financeira e técnica-operacional para a execução do objeto participando da licitação.</w:t>
            </w:r>
          </w:p>
        </w:tc>
        <w:tc>
          <w:tcPr>
            <w:tcW w:type="dxa" w:w="360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Contratação de empresa incapaz de executar o serviço, as obrigações financeiras, fiscais, trabalhistas e previdenciárias relativas ao contrato.</w:t>
            </w:r>
          </w:p>
        </w:tc>
        <w:tc>
          <w:tcPr>
            <w:tcW w:type="dxa" w:w="6480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Rescisão contratual; necessidade de realização de contratação emergencial.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1</w:t>
            </w:r>
          </w:p>
        </w:tc>
        <w:tc>
          <w:tcPr>
            <w:tcW w:type="dxa" w:w="432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  <w:tc>
          <w:tcPr>
            <w:tcW w:type="dxa" w:w="864"/>
            <w:vAlign w:val="center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fill="ebff0b"/>
          </w:tcPr>
          <w:p>
            <w:pPr>
              <w:jc w:val="center"/>
            </w:pPr>
            <w:r>
              <w:rPr>
                <w:rFonts w:ascii="Carlito" w:hAnsi="Carlito"/>
                <w:sz w:val="20"/>
              </w:rPr>
              <w:t>5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10058400" cy="27509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2750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br w:type="page"/>
      </w:r>
    </w:p>
    <w:p>
      <w:pPr>
        <w:sectPr>
          <w:pgSz w:w="16838" w:h="11906" w:orient="landscape"/>
          <w:pgMar w:top="288" w:right="288" w:bottom="288" w:left="288" w:header="708" w:footer="708" w:gutter="0"/>
          <w:cols w:space="708"/>
          <w:docGrid w:linePitch="360"/>
        </w:sectPr>
      </w:pPr>
    </w:p>
    <w:sectPr w:rsidR="00787CAE" w:rsidRPr="00787CAE" w:rsidSect="00D73757">
      <w:pgSz w:w="11906" w:h="16838"/>
      <w:pgMar w:top="288" w:right="288" w:bottom="288" w:left="288" w:header="708" w:footer="708" w:gutter="0"/>
      <w:cols w:space="708"/>
      <w:docGrid w:linePitch="360"/>
    </w:sectPr>
    <w:p w14:paraId="02B43103" w14:textId="22840078" w:rsidR="001851CF" w:rsidRDefault="00E96391">
      <w:r w:rsidRPr="00E96391">
        <w:t>Conforme § 5º do art. 38 da IN SGD/ME nº 1, de 2019, o Mapa de Gerenciamento de Riscos deve ser assinado pela Equipe de Planejamento da Contratação, nas fases de Planejamento da Contratação e de Seleção de Fornecedores, e pela Equipe de Fiscalização do Contrato, na fase de Gestão do Contrato.</w:t>
      </w:r>
    </w:p>
    <w:p w14:paraId="663E7CB6" w14:textId="77777777" w:rsidR="00E96391" w:rsidRDefault="00E96391"/>
    <w:p w14:paraId="55C8F60A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Brasília/DF, na data da assinatura.</w:t>
      </w:r>
    </w:p>
    <w:p w14:paraId="1993AF16" w14:textId="77777777" w:rsidR="001851CF" w:rsidRDefault="001851CF" w:rsidP="001851CF">
      <w:pPr>
        <w:spacing w:line="276" w:lineRule="auto"/>
        <w:ind w:left="709"/>
        <w:jc w:val="right"/>
        <w:rPr>
          <w:rFonts w:ascii="Arial" w:eastAsia="Times New Roman" w:hAnsi="Arial" w:cs="Arial"/>
          <w:color w:val="000000"/>
          <w:sz w:val="20"/>
          <w:szCs w:val="20"/>
        </w:rPr>
      </w:pPr>
    </w:p>
    <w:p w14:paraId="51B0941E" w14:textId="77777777" w:rsidR="001851CF" w:rsidRDefault="001851CF" w:rsidP="001851CF">
      <w:pPr>
        <w:spacing w:line="276" w:lineRule="auto"/>
        <w:ind w:left="709"/>
        <w:jc w:val="right"/>
        <w:rPr>
          <w:rFonts w:ascii="Times New Roman" w:eastAsia="Times New Roman" w:hAnsi="Times New Roman" w:cs="Times New Roman"/>
        </w:rPr>
      </w:pPr>
    </w:p>
    <w:p w14:paraId="7E2F146B" w14:textId="77777777" w:rsidR="001851CF" w:rsidRPr="001C26CD" w:rsidRDefault="001851CF" w:rsidP="001851CF">
      <w:pPr>
        <w:spacing w:line="276" w:lineRule="auto"/>
        <w:ind w:left="709"/>
        <w:jc w:val="center"/>
        <w:rPr>
          <w:rFonts w:ascii="Times New Roman" w:eastAsia="Times New Roman" w:hAnsi="Times New Roman" w:cs="Times New Roman"/>
        </w:rPr>
      </w:pPr>
    </w:p>
    <w:p w14:paraId="6F2F3EAF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responsavel_pela_demanda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0284BC7C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393F8CBB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</w:p>
    <w:p w14:paraId="5606B7CE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Aprovo:</w:t>
      </w:r>
    </w:p>
    <w:p w14:paraId="5AC62A75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7F57B56C" w14:textId="77777777" w:rsidR="001851CF" w:rsidRDefault="001851CF" w:rsidP="001851CF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62D7F827" w14:textId="77777777" w:rsidR="001851CF" w:rsidRPr="001C26CD" w:rsidRDefault="001851CF" w:rsidP="001851CF">
      <w:pPr>
        <w:rPr>
          <w:rFonts w:ascii="Times New Roman" w:eastAsia="Times New Roman" w:hAnsi="Times New Roman" w:cs="Times New Roman"/>
        </w:rPr>
      </w:pPr>
    </w:p>
    <w:p w14:paraId="1257DD31" w14:textId="77777777" w:rsidR="001851CF" w:rsidRPr="001C26CD" w:rsidRDefault="001851CF" w:rsidP="001851CF">
      <w:pPr>
        <w:jc w:val="center"/>
        <w:rPr>
          <w:rFonts w:ascii="Times New Roman" w:eastAsia="Times New Roman" w:hAnsi="Times New Roman" w:cs="Times New Roman"/>
        </w:rPr>
      </w:pPr>
      <w:r w:rsidRPr="001C26CD">
        <w:rPr>
          <w:rFonts w:ascii="Arial" w:eastAsia="Times New Roman" w:hAnsi="Arial" w:cs="Arial"/>
          <w:sz w:val="20"/>
          <w:szCs w:val="20"/>
        </w:rPr>
        <w:t>{{</w:t>
      </w:r>
      <w:proofErr w:type="spellStart"/>
      <w:r w:rsidRPr="001C26CD">
        <w:rPr>
          <w:rFonts w:ascii="Arial" w:eastAsia="Times New Roman" w:hAnsi="Arial" w:cs="Arial" w:hint="eastAsia"/>
          <w:sz w:val="20"/>
          <w:szCs w:val="20"/>
        </w:rPr>
        <w:t>ordenador_despesas</w:t>
      </w:r>
      <w:proofErr w:type="spellEnd"/>
      <w:r w:rsidRPr="001C26CD">
        <w:rPr>
          <w:rFonts w:ascii="Arial" w:eastAsia="Times New Roman" w:hAnsi="Arial" w:cs="Arial"/>
          <w:sz w:val="20"/>
          <w:szCs w:val="20"/>
        </w:rPr>
        <w:t>}}</w:t>
      </w:r>
    </w:p>
    <w:p w14:paraId="4FCD5F4A" w14:textId="77777777" w:rsidR="001851CF" w:rsidRDefault="001851CF" w:rsidP="001851C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single" w:sz="6" w:space="1" w:color="000000"/>
        </w:rPr>
        <w:t>ASSINADO DIGITALMENTE</w:t>
      </w:r>
    </w:p>
    <w:p w14:paraId="7E5E66CA" w14:textId="77777777" w:rsidR="001851CF" w:rsidRDefault="001851CF"/>
    <w:p w14:paraId="02D493DB" w14:textId="77777777" w:rsidR="00E96391" w:rsidRPr="00E96391" w:rsidRDefault="00E96391" w:rsidP="00E96391"/>
    <w:p w14:paraId="10B2FEBE" w14:textId="77777777" w:rsidR="00E96391" w:rsidRPr="00E96391" w:rsidRDefault="00E96391" w:rsidP="00E96391"/>
    <w:p w14:paraId="5BB4B2C3" w14:textId="77777777" w:rsidR="00E96391" w:rsidRPr="00E96391" w:rsidRDefault="00E96391" w:rsidP="00E96391"/>
    <w:p w14:paraId="71872CCC" w14:textId="77777777" w:rsidR="00E96391" w:rsidRPr="00E96391" w:rsidRDefault="00E96391" w:rsidP="00E96391"/>
    <w:p w14:paraId="34504392" w14:textId="77777777" w:rsidR="00E96391" w:rsidRPr="00E96391" w:rsidRDefault="00E96391" w:rsidP="00E96391"/>
    <w:p w14:paraId="700354FC" w14:textId="77777777" w:rsidR="00E96391" w:rsidRPr="00E96391" w:rsidRDefault="00E96391" w:rsidP="00E96391"/>
    <w:p w14:paraId="1810CF3A" w14:textId="77777777" w:rsidR="00E96391" w:rsidRPr="00E96391" w:rsidRDefault="00E96391" w:rsidP="00E96391"/>
    <w:p w14:paraId="61599E46" w14:textId="77777777" w:rsidR="00E96391" w:rsidRPr="00E96391" w:rsidRDefault="00E96391" w:rsidP="00E96391"/>
    <w:p w14:paraId="68A38204" w14:textId="77777777" w:rsidR="00E96391" w:rsidRPr="00E96391" w:rsidRDefault="00E96391" w:rsidP="00E96391"/>
    <w:p w14:paraId="4D6A70C5" w14:textId="77777777" w:rsidR="00E96391" w:rsidRDefault="00E96391" w:rsidP="00E96391"/>
    <w:p w14:paraId="2F7B4A5D" w14:textId="27E08CFB" w:rsidR="00E96391" w:rsidRPr="00E96391" w:rsidRDefault="00E96391" w:rsidP="00E96391">
      <w:pPr>
        <w:tabs>
          <w:tab w:val="left" w:pos="5225"/>
        </w:tabs>
      </w:pPr>
      <w:r>
        <w:tab/>
      </w:r>
    </w:p>
    <w:sectPr w:rsidR="00E96391" w:rsidRPr="00E96391" w:rsidSect="00FF6AB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2603EC"/>
    <w:rsid w:val="004B3380"/>
    <w:rsid w:val="004E0B7F"/>
    <w:rsid w:val="005036A0"/>
    <w:rsid w:val="007052EC"/>
    <w:rsid w:val="00787CAE"/>
    <w:rsid w:val="00792A46"/>
    <w:rsid w:val="007A792F"/>
    <w:rsid w:val="00CB292B"/>
    <w:rsid w:val="00D73757"/>
    <w:rsid w:val="00E93572"/>
    <w:rsid w:val="00ED6F81"/>
    <w:rsid w:val="00F6641B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2EC"/>
    <w:pPr>
      <w:suppressAutoHyphens/>
      <w:overflowPunct w:val="0"/>
      <w:spacing w:after="200" w:line="276" w:lineRule="auto"/>
    </w:pPr>
    <w:rPr>
      <w:rFonts w:ascii="Cambria" w:eastAsia="MS Mincho" w:hAnsi="Cambria" w:cs="Tahoma"/>
      <w:kern w:val="0"/>
      <w:sz w:val="22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uppressAutoHyphens w:val="0"/>
      <w:overflowPunct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uppressAutoHyphens w:val="0"/>
      <w:overflowPunct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uppressAutoHyphens w:val="0"/>
      <w:overflowPunct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uppressAutoHyphens w:val="0"/>
      <w:overflowPunct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uppressAutoHyphens w:val="0"/>
      <w:overflowPunct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uppressAutoHyphens w:val="0"/>
      <w:overflowPunct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  <w:suppressAutoHyphens w:val="0"/>
      <w:overflowPunct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uppressAutoHyphens w:val="0"/>
      <w:overflowPunct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suppressAutoHyphens w:val="0"/>
      <w:overflowPunct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overflowPunct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  <w:style w:type="paragraph" w:customStyle="1" w:styleId="Contedodatabela">
    <w:name w:val="Conteúdo da tabela"/>
    <w:basedOn w:val="Normal"/>
    <w:qFormat/>
    <w:rsid w:val="007052EC"/>
    <w:pPr>
      <w:widowControl w:val="0"/>
      <w:suppressLineNumbers/>
    </w:pPr>
  </w:style>
  <w:style w:type="paragraph" w:styleId="Corpodetexto">
    <w:name w:val="Body Text"/>
    <w:basedOn w:val="Normal"/>
    <w:link w:val="CorpodetextoChar"/>
    <w:rsid w:val="00D73757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73757"/>
    <w:rPr>
      <w:rFonts w:ascii="Cambria" w:eastAsia="MS Mincho" w:hAnsi="Cambria" w:cs="Tahom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678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5</cp:revision>
  <dcterms:created xsi:type="dcterms:W3CDTF">2024-07-23T23:52:00Z</dcterms:created>
  <dcterms:modified xsi:type="dcterms:W3CDTF">2024-07-25T02:50:00Z</dcterms:modified>
  <dc:identifier/>
  <dc:language/>
</cp:coreProperties>
</file>