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Pr="00384BB1" w:rsidRDefault="00000000">
      <w:pPr>
        <w:pStyle w:val="Normal1"/>
        <w:spacing w:after="0" w:line="240" w:lineRule="auto"/>
        <w:jc w:val="center"/>
        <w:rPr>
          <w:rFonts w:ascii="Carlito" w:hAnsi="Carlito" w:cs="Carlito"/>
        </w:rPr>
      </w:pPr>
      <w:r w:rsidRPr="00384BB1">
        <w:rPr>
          <w:rFonts w:ascii="Carlito" w:hAnsi="Carlito" w:cs="Carlito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00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384BB1" w:rsidRDefault="00000000">
      <w:pPr>
        <w:pStyle w:val="Normal1"/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4BB1">
        <w:rPr>
          <w:rFonts w:ascii="Carlito" w:hAnsi="Carlito" w:cs="Carlito"/>
          <w:b/>
          <w:sz w:val="24"/>
          <w:szCs w:val="24"/>
        </w:rPr>
        <w:t>MARINHA DO BRASIL</w:t>
      </w:r>
    </w:p>
    <w:p w14:paraId="25115634" w14:textId="77777777" w:rsidR="00D148B8" w:rsidRPr="00384BB1" w:rsidRDefault="00000000">
      <w:pPr>
        <w:pStyle w:val="Normal1"/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  <w:r w:rsidRPr="00384BB1">
        <w:rPr>
          <w:rFonts w:ascii="Carlito" w:hAnsi="Carlito" w:cs="Carlito"/>
          <w:b/>
          <w:bCs/>
          <w:sz w:val="24"/>
          <w:szCs w:val="24"/>
        </w:rPr>
        <w:t xml:space="preserve">CENTRO DE INTENDÊNCIA DA MARINHA EM BRASÍLIA</w:t>
      </w:r>
    </w:p>
    <w:p w14:paraId="1C88626B" w14:textId="77777777" w:rsidR="00E56474" w:rsidRPr="00384BB1" w:rsidRDefault="00E56474">
      <w:pPr>
        <w:pStyle w:val="Normal1"/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4972AA97" w14:textId="77777777" w:rsidR="00E56474" w:rsidRPr="00384BB1" w:rsidRDefault="00E56474" w:rsidP="00E56474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 xml:space="preserve">Dispensa Eletrônica nº 37/</w:t>
      </w:r>
      <w:proofErr w:type="gramEnd"/>
      <w:r w:rsidRPr="00384BB1">
        <w:rPr>
          <w:rFonts w:ascii="Carlito" w:hAnsi="Carlito" w:cs="Carlito"/>
          <w:b/>
          <w:bCs/>
        </w:rPr>
        <w:t xml:space="preserve">2024</w:t>
      </w:r>
    </w:p>
    <w:p w14:paraId="642BE4C6" w14:textId="77777777" w:rsidR="00E56474" w:rsidRPr="00384BB1" w:rsidRDefault="00E56474">
      <w:pPr>
        <w:pStyle w:val="Normal1"/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</w:p>
    <w:p w14:paraId="2524D7A4" w14:textId="14CFAEC0" w:rsidR="00D148B8" w:rsidRPr="00384BB1" w:rsidRDefault="00E56474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>Justificativas Relevantes</w:t>
      </w:r>
    </w:p>
    <w:p w14:paraId="05B6185D" w14:textId="77777777" w:rsidR="00F60B41" w:rsidRPr="00384BB1" w:rsidRDefault="00F60B41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</w:p>
    <w:p w14:paraId="4AFE68E1" w14:textId="77777777" w:rsidR="00D148B8" w:rsidRPr="00384BB1" w:rsidRDefault="00000000" w:rsidP="00F60B41">
      <w:pPr>
        <w:pStyle w:val="NormalWeb"/>
        <w:spacing w:before="0" w:after="0" w:line="240" w:lineRule="auto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 xml:space="preserve">Processo Administrativo nº x</w:t>
      </w:r>
    </w:p>
    <w:p w14:paraId="69F6DB9F" w14:textId="2A2169E8" w:rsidR="00D148B8" w:rsidRDefault="00F60B41" w:rsidP="00F60B41">
      <w:pPr>
        <w:pStyle w:val="NormalWeb"/>
        <w:spacing w:before="0" w:after="0" w:line="240" w:lineRule="auto"/>
        <w:rPr>
          <w:rFonts w:ascii="Carlito" w:hAnsi="Carlito" w:cs="Carlito"/>
          <w:b/>
          <w:bCs/>
        </w:rPr>
      </w:pPr>
      <w:r w:rsidRPr="00384BB1">
        <w:rPr>
          <w:rFonts w:ascii="Carlito" w:hAnsi="Carlito" w:cs="Carlito"/>
          <w:b/>
          <w:bCs/>
        </w:rPr>
        <w:t xml:space="preserve">Objeto: Contratação de empresa especializada em Instalação de Piso Vinílico</w:t>
      </w:r>
    </w:p>
    <w:p w14:paraId="18011C7F" w14:textId="77777777" w:rsidR="00384BB1" w:rsidRPr="00384BB1" w:rsidRDefault="00384BB1" w:rsidP="00F60B41">
      <w:pPr>
        <w:pStyle w:val="NormalWeb"/>
        <w:spacing w:before="0" w:after="0" w:line="240" w:lineRule="auto"/>
        <w:rPr>
          <w:rFonts w:ascii="Carlito" w:hAnsi="Carlito" w:cs="Carlito"/>
          <w:b/>
          <w:bCs/>
        </w:rPr>
      </w:pPr>
    </w:p>
    <w:p w14:paraId="5B00485B" w14:textId="6CF015C9" w:rsidR="00D148B8" w:rsidRPr="00384BB1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color w:val="000000"/>
          <w:sz w:val="24"/>
          <w:szCs w:val="24"/>
        </w:rPr>
        <w:t>1</w:t>
      </w:r>
      <w:r w:rsidR="00CA1F6E" w:rsidRPr="00384BB1">
        <w:rPr>
          <w:rFonts w:ascii="Carlito" w:hAnsi="Carlito" w:cs="Carlito"/>
          <w:b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 xml:space="preserve"> A contratação é mais vantajosa do que eventuais alternativas, como a locação de bens?</w:t>
      </w:r>
    </w:p>
    <w:p w14:paraId="34E4A1E7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Não foram identificadas, até o presente momento, alternativas para a demanda apresentada, portanto, a aquisição do material é única solução.</w:t>
      </w:r>
    </w:p>
    <w:p w14:paraId="4223E266" w14:textId="5180A15A" w:rsidR="00D148B8" w:rsidRPr="00384BB1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color w:val="000000"/>
          <w:sz w:val="24"/>
          <w:szCs w:val="24"/>
        </w:rPr>
        <w:t>2</w:t>
      </w:r>
      <w:r w:rsidR="00CA1F6E" w:rsidRPr="00384BB1">
        <w:rPr>
          <w:rFonts w:ascii="Carlito" w:hAnsi="Carlito" w:cs="Carlito"/>
          <w:b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 xml:space="preserve"> Há justificativa para não utilização de sistema de registro de preços?</w:t>
      </w:r>
    </w:p>
    <w:p w14:paraId="75B147D5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Como foi possível identificar com precisão a quantidade estimada, não haverá necessidade de registrar preços.</w:t>
      </w:r>
    </w:p>
    <w:p w14:paraId="2D1D9BFC" w14:textId="4EBAD1BC" w:rsidR="00D148B8" w:rsidRPr="00384BB1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color w:val="000000"/>
          <w:sz w:val="24"/>
          <w:szCs w:val="24"/>
        </w:rPr>
        <w:t>3</w:t>
      </w:r>
      <w:r w:rsidR="00CA1F6E" w:rsidRPr="00384BB1">
        <w:rPr>
          <w:rFonts w:ascii="Carlito" w:hAnsi="Carlito" w:cs="Carlito"/>
          <w:b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 xml:space="preserve"> Justificativa para ausência de Estudos Técnicos Preliminares (ETP) e Análise de Riscos</w:t>
      </w:r>
    </w:p>
    <w:p w14:paraId="63F5D1B6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Conforme art. 14, inc. I da Instrução Normativa Nº 58/2022, é facultada nas hipóteses dos incisos I, II, VII e VIII do art. 75 e do § 7º do art. 90 da Lei nº 14.133, de 2021.</w:t>
      </w:r>
    </w:p>
    <w:p w14:paraId="687B11AD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Cs/>
          <w:color w:val="000000"/>
          <w:sz w:val="24"/>
          <w:szCs w:val="24"/>
        </w:rPr>
        <w:t>A respeito da Matriz de alocação de risco, o art. 22 da Lei nº 14.133/21 prevê que a administração “poderá” contemplar a matriz de alocação de riscos. Porém, o objeto a ser adquirido possui baixa complexidade e, por se tratar de uma hipótese de contratação de baixo valor, para o caso concreto não há necessidade de haver estudos técnicos preliminares e matriz de riscos, restando o presente no Aviso de Dispensa e seus Anexos todas as condições necessárias para a adequação da contratação.</w:t>
      </w:r>
    </w:p>
    <w:p w14:paraId="5461FC87" w14:textId="77777777" w:rsidR="00D148B8" w:rsidRPr="00384BB1" w:rsidRDefault="00000000">
      <w:pPr>
        <w:pStyle w:val="Normal1"/>
        <w:spacing w:before="171" w:after="0"/>
        <w:ind w:left="2268"/>
        <w:jc w:val="both"/>
        <w:rPr>
          <w:rFonts w:ascii="Carlito" w:hAnsi="Carlito" w:cs="Carlito"/>
          <w:bCs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bCs/>
          <w:i/>
          <w:iCs/>
          <w:color w:val="000000"/>
          <w:sz w:val="20"/>
          <w:szCs w:val="20"/>
        </w:rPr>
        <w:t>Lei 14.133/21 Art. 22 O edital poderá contemplar matriz de alocação de riscos entre o contratante e o contratado, hipótese em que o cálculo do valor estimado da contratação poderá considerar taxa de risco compatível com o objeto da licitação e com os riscos atribuídos ao contratado, de acordo com metodologia predefinida pelo ente federativo.</w:t>
      </w:r>
    </w:p>
    <w:p w14:paraId="4E21A959" w14:textId="700D038B" w:rsidR="00D148B8" w:rsidRPr="00384BB1" w:rsidRDefault="00000000">
      <w:pPr>
        <w:pStyle w:val="Normal1"/>
        <w:spacing w:before="171" w:after="0"/>
        <w:rPr>
          <w:rFonts w:ascii="Carlito" w:hAnsi="Carlito" w:cs="Carlito"/>
          <w:b/>
          <w:bCs/>
          <w:color w:val="000000"/>
          <w:sz w:val="24"/>
          <w:szCs w:val="24"/>
        </w:rPr>
      </w:pPr>
      <w:r w:rsidRPr="00384BB1">
        <w:rPr>
          <w:rFonts w:ascii="Carlito" w:hAnsi="Carlito" w:cs="Carlito"/>
          <w:b/>
          <w:bCs/>
          <w:color w:val="000000"/>
          <w:sz w:val="24"/>
          <w:szCs w:val="24"/>
        </w:rPr>
        <w:t>4</w:t>
      </w:r>
      <w:r w:rsidR="00CA1F6E" w:rsidRPr="00384BB1">
        <w:rPr>
          <w:rFonts w:ascii="Carlito" w:hAnsi="Carlito" w:cs="Carlito"/>
          <w:b/>
          <w:bCs/>
          <w:color w:val="000000"/>
          <w:sz w:val="24"/>
          <w:szCs w:val="24"/>
        </w:rPr>
        <w:t>.</w:t>
      </w:r>
      <w:r w:rsidRPr="00384BB1">
        <w:rPr>
          <w:rFonts w:ascii="Carlito" w:hAnsi="Carlito" w:cs="Carlito"/>
          <w:b/>
          <w:bCs/>
          <w:color w:val="000000"/>
          <w:sz w:val="24"/>
          <w:szCs w:val="24"/>
        </w:rPr>
        <w:t xml:space="preserve"> Justificativa para o enquadramento da contratação</w:t>
      </w:r>
    </w:p>
    <w:p w14:paraId="7C6AA128" w14:textId="77777777" w:rsidR="00D148B8" w:rsidRPr="00384BB1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color w:val="000000"/>
          <w:sz w:val="24"/>
          <w:szCs w:val="24"/>
        </w:rPr>
      </w:pPr>
      <w:r w:rsidRPr="00384BB1">
        <w:rPr>
          <w:rFonts w:ascii="Carlito" w:hAnsi="Carlito" w:cs="Carlito"/>
          <w:color w:val="000000"/>
          <w:sz w:val="24"/>
          <w:szCs w:val="24"/>
        </w:rPr>
        <w:t>Trata-se de certame realizado sob previsão legal ao estabelecido no art. 75, inciso II da Lei nº 14.133/2021, onde se verifica as hipóteses em que é cabível a dispensa de licitação.</w:t>
      </w:r>
    </w:p>
    <w:p w14:paraId="21B575F7" w14:textId="77777777" w:rsidR="00D148B8" w:rsidRPr="00384BB1" w:rsidRDefault="00000000">
      <w:pPr>
        <w:pStyle w:val="Normal1"/>
        <w:spacing w:before="171"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Lei 14.133/2021. Art. 75. É dispensável a licitação:</w:t>
      </w:r>
    </w:p>
    <w:p w14:paraId="497B5714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para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contratação que envolva valores inferiores a R$ 59.906,02 (cinquenta e nove mil novecentos e seis reais e dois centavos), no caso de outros serviços e compras; (Vide Decreto nº 11.871, de 2023)  </w:t>
      </w:r>
    </w:p>
    <w:p w14:paraId="1BC865A5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lastRenderedPageBreak/>
        <w:t>§ 1º Para fins de aferição dos valores que atendam aos limites referidos nos incisos I e II do caput deste artigo, deverão ser observados:</w:t>
      </w:r>
    </w:p>
    <w:p w14:paraId="71F03A70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o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somatório da despesa realizada com objetos de mesma natureza, entendidos como tais aqueles relativos a contratações no mesmo ramo de atividade.</w:t>
      </w:r>
    </w:p>
    <w:p w14:paraId="27FED02D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IN SEGES/ME nº 67/2021 - Regulamenta o Sistema de Dispensa Eletrônica</w:t>
      </w:r>
    </w:p>
    <w:p w14:paraId="758520FE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§ 2º Considera-se ramo de atividade a linha de fornecimento registrada pelo fornecedor quando do seu cadastramento no Sistema de Cadastramento Unificado de Fornecedores (</w:t>
      </w:r>
      <w:proofErr w:type="spell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Sicaf</w:t>
      </w:r>
      <w:proofErr w:type="spell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), vinculada: (Redação dada pela IN Seges/MGI n.º 8 de 2023).</w:t>
      </w:r>
    </w:p>
    <w:p w14:paraId="0F4F9787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à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classe de materiais, utilizando o Padrão Descritivo de Materiais (PDM) do Sistema de Catalogação de Material do Governo federal; ou</w:t>
      </w:r>
    </w:p>
    <w:p w14:paraId="7B74D534" w14:textId="77777777" w:rsidR="00D148B8" w:rsidRPr="00384BB1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i/>
          <w:iCs/>
          <w:color w:val="000000"/>
          <w:sz w:val="20"/>
          <w:szCs w:val="20"/>
        </w:rPr>
      </w:pPr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II - </w:t>
      </w:r>
      <w:proofErr w:type="gramStart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>à</w:t>
      </w:r>
      <w:proofErr w:type="gramEnd"/>
      <w:r w:rsidRPr="00384BB1">
        <w:rPr>
          <w:rFonts w:ascii="Carlito" w:hAnsi="Carlito" w:cs="Carlito"/>
          <w:i/>
          <w:iCs/>
          <w:color w:val="000000"/>
          <w:sz w:val="20"/>
          <w:szCs w:val="20"/>
        </w:rPr>
        <w:t xml:space="preserve"> descrição dos serviços ou das obras, constante do Sistema de Catalogação de Serviços ou de Obras do Governo federal."</w:t>
      </w:r>
    </w:p>
    <w:p w14:paraId="7BEC7544" w14:textId="79B2D4E4" w:rsidR="00E56474" w:rsidRPr="00384BB1" w:rsidRDefault="00F60B41">
      <w:pPr>
        <w:pStyle w:val="Normal1"/>
        <w:spacing w:before="114" w:after="0"/>
        <w:rPr>
          <w:rFonts w:ascii="Carlito" w:hAnsi="Carlito" w:cs="Carlito"/>
          <w:b/>
          <w:bCs/>
          <w:sz w:val="28"/>
          <w:szCs w:val="28"/>
        </w:rPr>
      </w:pPr>
      <w:r w:rsidRPr="00384BB1">
        <w:rPr>
          <w:rFonts w:ascii="Carlito" w:hAnsi="Carlito" w:cs="Carlito"/>
          <w:b/>
          <w:bCs/>
          <w:sz w:val="24"/>
          <w:szCs w:val="24"/>
        </w:rPr>
        <w:t xml:space="preserve">5. </w:t>
      </w:r>
      <w:r w:rsidR="00E56474" w:rsidRPr="00384BB1">
        <w:rPr>
          <w:rFonts w:ascii="Carlito" w:hAnsi="Carlito" w:cs="Carlito"/>
          <w:b/>
          <w:bCs/>
          <w:sz w:val="24"/>
          <w:szCs w:val="24"/>
        </w:rPr>
        <w:t>Atividade de Custeio</w:t>
      </w:r>
    </w:p>
    <w:p w14:paraId="3BCCB43D" w14:textId="1F4A6EC6" w:rsidR="00E56474" w:rsidRPr="00384BB1" w:rsidRDefault="00E56474" w:rsidP="00A94438">
      <w:pPr>
        <w:pStyle w:val="Normal1"/>
        <w:spacing w:before="114" w:after="0"/>
        <w:ind w:firstLine="708"/>
        <w:jc w:val="both"/>
        <w:rPr>
          <w:rFonts w:ascii="Carlito" w:hAnsi="Carlito" w:cs="Carlito"/>
        </w:rPr>
      </w:pPr>
      <w:r w:rsidRPr="00384BB1">
        <w:rPr>
          <w:rFonts w:ascii="Carlito" w:hAnsi="Carlito" w:cs="Carlito"/>
        </w:rPr>
        <w:t xml:space="preserve">A presente contratação por dispensa de licitação não se enquadra nas hipóteses de atividades de custeio previstas no Decreto nº 10.193, de 27 de dezembro de 2019, pois o objeto contratado não se relaciona diretamente às atividades comuns de suporte administrativo mencionadas no artigo 2º da Portaria ME nº 7.828, de 30 de agosto de 2022.</w:t>
      </w:r>
    </w:p>
    <w:p w14:paraId="4C2430D0" w14:textId="5D202E5E" w:rsidR="00D148B8" w:rsidRPr="00384BB1" w:rsidRDefault="00E56474" w:rsidP="00384BB1">
      <w:pPr>
        <w:pStyle w:val="Normal1"/>
        <w:spacing w:before="171" w:after="0"/>
        <w:jc w:val="both"/>
        <w:rPr>
          <w:rFonts w:ascii="Carlito" w:hAnsi="Carlito" w:cs="Carlito"/>
        </w:rPr>
      </w:pPr>
      <w:r w:rsidRPr="00384BB1">
        <w:rPr>
          <w:rFonts w:ascii="Carlito" w:hAnsi="Carlito" w:cs="Carlito"/>
          <w:b/>
          <w:bCs/>
        </w:rPr>
        <w:t xml:space="preserve">6. </w:t>
      </w:r>
      <w:r w:rsidR="00F60B41" w:rsidRPr="00384BB1">
        <w:rPr>
          <w:rFonts w:ascii="Carlito" w:hAnsi="Carlito" w:cs="Carlito"/>
          <w:b/>
          <w:color w:val="000000"/>
          <w:sz w:val="24"/>
          <w:szCs w:val="24"/>
        </w:rPr>
        <w:t>P</w:t>
      </w:r>
      <w:r w:rsidRPr="00384BB1">
        <w:rPr>
          <w:rFonts w:ascii="Carlito" w:hAnsi="Carlito" w:cs="Carlito"/>
          <w:b/>
          <w:color w:val="000000"/>
          <w:sz w:val="24"/>
          <w:szCs w:val="24"/>
        </w:rPr>
        <w:t>arecer Jurídico</w:t>
      </w:r>
    </w:p>
    <w:p w14:paraId="23717E65" w14:textId="77777777" w:rsidR="00D148B8" w:rsidRPr="00384BB1" w:rsidRDefault="00000000">
      <w:pPr>
        <w:pStyle w:val="NormalWeb"/>
        <w:spacing w:before="0" w:after="0" w:line="276" w:lineRule="auto"/>
        <w:ind w:firstLine="1134"/>
        <w:jc w:val="both"/>
        <w:rPr>
          <w:rFonts w:ascii="Carlito" w:hAnsi="Carlito" w:cs="Carlito"/>
        </w:rPr>
      </w:pPr>
      <w:r w:rsidRPr="00384BB1">
        <w:rPr>
          <w:rFonts w:ascii="Carlito" w:hAnsi="Carlito" w:cs="Carlito"/>
        </w:rPr>
        <w:t>Conforme previsto no Art. 2º, da Orientação Normativa nº 69/2021 da AGU:</w:t>
      </w:r>
    </w:p>
    <w:p w14:paraId="540AB292" w14:textId="77777777" w:rsidR="00D148B8" w:rsidRPr="00384BB1" w:rsidRDefault="00000000">
      <w:pPr>
        <w:pStyle w:val="NormalWeb"/>
        <w:spacing w:before="0" w:after="0" w:line="276" w:lineRule="auto"/>
        <w:ind w:left="2268"/>
        <w:jc w:val="both"/>
        <w:rPr>
          <w:rFonts w:ascii="Carlito" w:hAnsi="Carlito" w:cs="Carlito"/>
          <w:i/>
          <w:iCs/>
        </w:rPr>
      </w:pPr>
      <w:r w:rsidRPr="00384BB1">
        <w:rPr>
          <w:rFonts w:ascii="Carlito" w:hAnsi="Carlito" w:cs="Carlito"/>
          <w:i/>
          <w:iCs/>
          <w:color w:val="000000"/>
          <w:spacing w:val="2"/>
        </w:rPr>
        <w:t>“</w:t>
      </w:r>
      <w:r w:rsidRPr="00384BB1">
        <w:rPr>
          <w:rFonts w:ascii="Carlito" w:hAnsi="Carlito" w:cs="Carlito"/>
          <w:i/>
          <w:iCs/>
          <w:color w:val="000000"/>
          <w:spacing w:val="2"/>
          <w:sz w:val="20"/>
          <w:szCs w:val="20"/>
        </w:rPr>
        <w:t>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licitação.”</w:t>
      </w:r>
    </w:p>
    <w:p w14:paraId="7FF17EB7" w14:textId="77777777" w:rsidR="00D148B8" w:rsidRPr="00384BB1" w:rsidRDefault="00D148B8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</w:p>
    <w:p w14:paraId="6E973647" w14:textId="77777777" w:rsidR="00D148B8" w:rsidRPr="00384BB1" w:rsidRDefault="00000000">
      <w:pPr>
        <w:pStyle w:val="Normal1"/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 w:rsidRPr="00384BB1"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384BB1" w:rsidRDefault="00D148B8">
      <w:pPr>
        <w:pStyle w:val="Normal1"/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3BE45FA" w14:textId="77777777" w:rsidR="00D148B8" w:rsidRPr="00384BB1" w:rsidRDefault="00D148B8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258F4484" w14:textId="77777777" w:rsidR="00D148B8" w:rsidRPr="00384BB1" w:rsidRDefault="00D148B8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46BD7FBC" w14:textId="77777777" w:rsidR="00925926" w:rsidRPr="00384BB1" w:rsidRDefault="00000000" w:rsidP="00925926">
      <w:pPr>
        <w:widowControl w:val="0"/>
        <w:jc w:val="center"/>
        <w:rPr>
          <w:rFonts w:ascii="Carlito" w:hAnsi="Carlito" w:cs="Carlito"/>
          <w:color w:val="FF0000"/>
          <w:szCs w:val="24"/>
        </w:rPr>
      </w:pPr>
      <w:r w:rsidRPr="00384BB1">
        <w:rPr>
          <w:rFonts w:ascii="Carlito" w:hAnsi="Carlito" w:cs="Carlito"/>
          <w:color w:val="000000"/>
          <w:szCs w:val="24"/>
        </w:rPr>
        <w:t xml:space="preserve">SHAYANE DE ARAÚJO SILVA</w:t>
        <w:br/>
        <w:t xml:space="preserve">Primeiro-Tenente (RM2-T)</w:t>
        <w:br/>
        <w:t xml:space="preserve">Encarregada da Divisão de Administração</w:t>
      </w:r>
    </w:p>
    <w:p w14:paraId="479A1819" w14:textId="2474C737" w:rsidR="00D148B8" w:rsidRPr="00384BB1" w:rsidRDefault="00925926" w:rsidP="00925926">
      <w:pPr>
        <w:pStyle w:val="Normal1"/>
        <w:tabs>
          <w:tab w:val="left" w:pos="1418"/>
        </w:tabs>
        <w:jc w:val="center"/>
        <w:rPr>
          <w:rFonts w:ascii="Carlito" w:hAnsi="Carlito" w:cs="Carlito"/>
          <w:sz w:val="24"/>
          <w:szCs w:val="28"/>
          <w:bdr w:val="single" w:sz="2" w:space="1" w:color="000000"/>
        </w:rPr>
      </w:pPr>
      <w:r w:rsidRPr="00384BB1">
        <w:rPr>
          <w:rFonts w:ascii="Carlito" w:hAnsi="Carlito" w:cs="Carlito"/>
          <w:sz w:val="24"/>
          <w:szCs w:val="28"/>
          <w:bdr w:val="single" w:sz="2" w:space="1" w:color="000000"/>
        </w:rPr>
        <w:t>ASSINADO DIGITALMENTE</w:t>
      </w:r>
    </w:p>
    <w:sectPr w:rsidR="00D148B8" w:rsidRPr="00384BB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123B37"/>
    <w:rsid w:val="00384BB1"/>
    <w:rsid w:val="004225FE"/>
    <w:rsid w:val="00533751"/>
    <w:rsid w:val="00533ACB"/>
    <w:rsid w:val="00535A47"/>
    <w:rsid w:val="005524B2"/>
    <w:rsid w:val="0066748E"/>
    <w:rsid w:val="006B2576"/>
    <w:rsid w:val="006C75BF"/>
    <w:rsid w:val="008E2170"/>
    <w:rsid w:val="008F385B"/>
    <w:rsid w:val="00925926"/>
    <w:rsid w:val="00946E7D"/>
    <w:rsid w:val="00A94438"/>
    <w:rsid w:val="00BB1F46"/>
    <w:rsid w:val="00C06272"/>
    <w:rsid w:val="00C345F4"/>
    <w:rsid w:val="00C67101"/>
    <w:rsid w:val="00CA1F6E"/>
    <w:rsid w:val="00D148B8"/>
    <w:rsid w:val="00D14AD6"/>
    <w:rsid w:val="00D72BBE"/>
    <w:rsid w:val="00D9114A"/>
    <w:rsid w:val="00E56474"/>
    <w:rsid w:val="00E96DBA"/>
    <w:rsid w:val="00F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580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18</cp:revision>
  <dcterms:created xsi:type="dcterms:W3CDTF">2024-07-11T02:32:00Z</dcterms:created>
  <dcterms:modified xsi:type="dcterms:W3CDTF">2024-07-26T00:08:00Z</dcterms:modified>
  <dc:creator/>
  <dc:description/>
  <dc:identifier/>
  <dc:language/>
  <dc:subject/>
  <dc:title/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