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90002/2024</w:t>
        <w:br/>
        <w:t xml:space="preserve">791181/2024-066/00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/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PROFIT ENTERPRISE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50.229.678/0001-19;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Nossa Senhora Da Gloria, 0 - Parque Dois Meninos;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São Pedro Da Aldêia / Rio De Janeiro;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28.949-026;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(22) 98210204;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consultoriaprofit@hotmail.com.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SAMARA DA SILVA COUTINHO.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por Sistema de Registro de Preços (SRP) de material de construção., especificado no item 1 do Termo de Referência, anexo do edital do pregão eletrônico nº 90002/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71 - CANTONEIRA   DE   AÇO | Catálogo: 480202</w:t>
        <w:br/>
      </w:r>
      <w:r>
        <w:rPr>
          <w:rFonts w:ascii="Calibri" w:hAnsi="Calibri"/>
          <w:b w:val="0"/>
          <w:sz w:val="24"/>
        </w:rPr>
        <w:t>Descrição: CANTONEIRA   DE   AÇO,   MODELO:   SUPORTE   AÉREO MATERIAL:    AÇO    (CANTONEIRA);    PLÁSTICO    (CAPA) ACABAMENTO/COR:  NATURAL  BRANCO  (CAPA),  ITENS INCLUSOS:   100   CANTONEIRAS;   100   CAPA   MEDIDAS (LXAXP): 2,73 X 5,4 X 2,7CM.</w:t>
        <w:br/>
      </w:r>
      <w:r>
        <w:rPr>
          <w:rFonts w:ascii="Calibri" w:hAnsi="Calibri"/>
          <w:b w:val="0"/>
          <w:sz w:val="24"/>
        </w:rPr>
        <w:t>Unidade de Fornecimento: Pacote 100,00 UN</w:t>
        <w:br/>
      </w:r>
      <w:r>
        <w:rPr>
          <w:rFonts w:ascii="Calibri" w:hAnsi="Calibri"/>
          <w:b w:val="0"/>
          <w:sz w:val="24"/>
        </w:rPr>
        <w:t>Marca/Fabricante:  Nick   |   Modelo/Versão:  100 Cantoneira de aço 2,73 x 5,4 x 2,7cm</w:t>
        <w:br/>
      </w:r>
      <w:r>
        <w:rPr>
          <w:rFonts w:ascii="Calibri" w:hAnsi="Calibri"/>
          <w:b w:val="0"/>
          <w:sz w:val="24"/>
        </w:rPr>
        <w:t>Quantidade: 256   |   Valor Unitário: R$ R$ 155,00   |   Valor Total do Item: R$ R$ 39.680,00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R$ 39.680,00 (Trinta e nove mil, seiscentos e oitenta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Salvador (CeIMSa)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Salvador-BA,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ADRIANA PEREIRA CAMELLO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SAMARA DA SILVA COUTINHO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