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853.0</w:t>
            </w:r>
          </w:p>
        </w:tc>
        <w:tc>
          <w:tcPr>
            <w:tcW w:type="dxa" w:w="3307"/>
          </w:tcPr>
          <w:p>
            <w:r>
              <w:t>Valor Total: 1706.0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270.0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54.0</w:t>
            </w:r>
          </w:p>
        </w:tc>
        <w:tc>
          <w:tcPr>
            <w:tcW w:type="dxa" w:w="3307"/>
          </w:tcPr>
          <w:p>
            <w:r>
              <w:t>Valor Total: 540.0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