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785810/2024-750/00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82 - PEÇAS - EQUIPAMENTO ODONTOLÓGICO (424286)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Peças - equipamento odontológico, material aço inoxidável, tipo gancho labial, aplicação localizador eletrônico de ápice de canal dentário, características adicionais autoclavável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SCHUSTER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SCHUSTER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136 - RESINA COMPOSTA (390513)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composta, tipo: fotopolimerizável, tamanho partículas: microhíbrida, aspecto físico: escupível, qualidade igual ou superior à referência: Z350 – 3M.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 DO BRASIL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Z350XT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R$ 14.799,00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157 - TESOURA INSTRUMENTAL (471755)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Tesoura instrumental, modelo 1: stevens, tipo ponta: ponta reta, característica ponta: romba, haste: haste reta, comprimento total: cerca de 10 cm, material: aço inoxidável, esterilidade: esterilizável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R$ 299,50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