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Fixador radiológico\, aplicação:para processamento automático\, aspecto físico:solução aquosa concentrado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14,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201,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202,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205,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206,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208,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209,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Hemostático absorvível, material: esponja de gelatina liofilizada, esterilidade: estéril, características adicionais: em cubo, 1 cm – caixa com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Iodofórmio, aspecto físico: pó ou cristal lustroso amarelo, odor desagradável, fórmula química: chi3 (tri-iodometano), peso molecular:393,73 g/mol, grau de pureza: pureza mínima de 99%, número de referência química: cas 75-47-8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cirúrgica aço carbono, esterilizada por raio gama, numero 11.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uso odontológico, material aço inoxidável, tipo combustível álcool, características adicionais com tampa, tamanho pequeno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Lixa odontológica, material aço, largura 4 mm, aplicação acabamento de amálgamas, tratamento superficial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(5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(7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odontológica, material: plástico, tipo:p/ moldagem, modelo: dentados total, tamanho: no 1, aplicação: superior, adulto, características Adicionais: perfurada, tipo uso: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Pavio para lamparina a álcool.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Pinca disseccao c/dente 14cm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de vidro 10 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Pontas descartáveis tipo centrix modelo anterior lv, embalagem com 20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rolete de algodão, em inox, medindo 10 x 5,5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Pote odontológico, material: vidro, formato: cilíndrico, transmitância: transparente, características adicionais: 2 cavidades, tipo: dappen,tamanho: 3 x 3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escuro / 450g / tipo vipe wave energia de microondas, com 2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médio / 450g /tipo vipe wave / energia de microondas, com 10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2: castroviejo, tipo ponta: ponta curva, comprimento total: cerca de 12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