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785810/2024-786/00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 tríplice odontológica com jatos de água, ar ou spray. Peça de mão, que fica acoplada ao equipo, utilizada na lavagem e secagem do meio bucal durante os procedimentos.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