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92C857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</w:rPr>
      </w:pPr>
      <w:r>
        <w:rPr>
          <w:noProof/>
        </w:rPr>
        <w:drawing>
          <wp:inline distT="0" distB="0" distL="0" distR="0" wp14:anchorId="735DE1A1" wp14:editId="73A5DC6A">
            <wp:extent cx="720090" cy="720090"/>
            <wp:effectExtent l="0" t="0" r="0" b="0"/>
            <wp:docPr id="10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90" cy="72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C720C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MARINHA DO BRASIL</w:t>
      </w:r>
    </w:p>
    <w:p w14:paraId="154FF1EE" w14:textId="77777777" w:rsidR="00DB59D9" w:rsidRDefault="00000000">
      <w:pPr>
        <w:spacing w:line="276" w:lineRule="auto"/>
        <w:jc w:val="center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>ATA DE REGISTRO DE PREÇOS</w:t>
      </w:r>
    </w:p>
    <w:p w14:paraId="3700FA73" w14:textId="77777777" w:rsidR="00DB59D9" w:rsidRDefault="00000000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Cs/>
          <w:color w:val="000000"/>
        </w:rPr>
        <w:t xml:space="preserve">Pregão Eletrônico nº 90004/2024</w:t>
        <w:br/>
        <w:t xml:space="preserve">785810/2024-209/00</w:t>
      </w:r>
    </w:p>
    <w:p w14:paraId="3B94D017" w14:textId="77777777" w:rsidR="00DB59D9" w:rsidRDefault="00DB59D9">
      <w:pPr>
        <w:widowControl w:val="0"/>
        <w:spacing w:line="276" w:lineRule="auto"/>
        <w:ind w:right="-30"/>
        <w:jc w:val="center"/>
        <w:rPr>
          <w:rFonts w:asciiTheme="minorHAnsi" w:hAnsiTheme="minorHAnsi" w:cstheme="minorHAnsi"/>
        </w:rPr>
      </w:pPr>
    </w:p>
    <w:p w14:paraId="1CF2285A" w14:textId="6C4578D1" w:rsidR="00754758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 xml:space="preserve">teste</w:t>
      </w:r>
    </w:p>
    <w:p w14:paraId="5FDD03F1" w14:textId="77777777" w:rsidR="00251C60" w:rsidRPr="00251C60" w:rsidRDefault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="Calibri" w:hAnsi="Calibri" w:cs="Calibri"/>
          <w:color w:val="000000"/>
          <w:u w:val="single"/>
        </w:rPr>
      </w:pPr>
    </w:p>
    <w:p w14:paraId="18A8D205" w14:textId="77777777" w:rsidR="00DB59D9" w:rsidRDefault="0000000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 xml:space="preserve">EMPRESA REGISTRADA: </w:t>
      </w:r>
    </w:p>
    <w:p w14:paraId="1F8DCED4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 xml:space="preserve">Razão Social: </w:t>
      </w:r>
      <w:r>
        <w:rPr>
          <w:rFonts w:ascii="Calibri" w:hAnsi="Calibri"/>
          <w:b w:val="0"/>
          <w:sz w:val="24"/>
        </w:rPr>
        <w:t>MILENA S. KLEIN;</w:t>
        <w:br/>
      </w:r>
      <w:r>
        <w:rPr>
          <w:rFonts w:ascii="Calibri" w:hAnsi="Calibri"/>
          <w:b/>
          <w:sz w:val="24"/>
        </w:rPr>
        <w:t xml:space="preserve">CNPJ: </w:t>
      </w:r>
      <w:r>
        <w:rPr>
          <w:rFonts w:ascii="Calibri" w:hAnsi="Calibri"/>
          <w:b w:val="0"/>
          <w:sz w:val="24"/>
        </w:rPr>
        <w:t>26.728.767/0001-25;</w:t>
        <w:br/>
      </w:r>
      <w:r>
        <w:rPr>
          <w:rFonts w:ascii="Calibri" w:hAnsi="Calibri"/>
          <w:b/>
          <w:sz w:val="24"/>
        </w:rPr>
        <w:t xml:space="preserve">Endereço: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Município-UF: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CEP: </w:t>
      </w:r>
      <w:r>
        <w:rPr>
          <w:rFonts w:ascii="Calibri" w:hAnsi="Calibri"/>
          <w:b w:val="0"/>
          <w:sz w:val="24"/>
        </w:rPr>
        <w:t>None;</w:t>
        <w:br/>
      </w:r>
      <w:r>
        <w:rPr>
          <w:rFonts w:ascii="Calibri" w:hAnsi="Calibri"/>
          <w:b/>
          <w:sz w:val="24"/>
        </w:rPr>
        <w:t xml:space="preserve">Telefone: </w:t>
      </w:r>
      <w:r>
        <w:rPr>
          <w:rFonts w:ascii="Calibri" w:hAnsi="Calibri"/>
          <w:b w:val="0"/>
          <w:sz w:val="24"/>
        </w:rPr>
        <w:t>None; e</w:t>
        <w:br/>
      </w:r>
      <w:r>
        <w:rPr>
          <w:rFonts w:ascii="Calibri" w:hAnsi="Calibri"/>
          <w:b/>
          <w:sz w:val="24"/>
        </w:rPr>
        <w:t xml:space="preserve">E-mail: </w:t>
      </w:r>
      <w:r>
        <w:rPr>
          <w:rFonts w:ascii="Calibri" w:hAnsi="Calibri"/>
          <w:b w:val="0"/>
          <w:sz w:val="24"/>
        </w:rPr>
        <w:t>None.</w:t>
        <w:br/>
      </w:r>
      <w:r>
        <w:rPr>
          <w:rFonts w:ascii="Calibri" w:hAnsi="Calibri"/>
          <w:b w:val="0"/>
          <w:sz w:val="24"/>
        </w:rPr>
        <w:t xml:space="preserve">Representada neste ato, por seu representante legal, o(a) Sr(a) </w:t>
      </w:r>
      <w:r>
        <w:rPr>
          <w:rFonts w:ascii="Calibri" w:hAnsi="Calibri"/>
          <w:b w:val="0"/>
          <w:sz w:val="24"/>
        </w:rPr>
        <w:t>None.</w:t>
        <w:br/>
      </w:r>
    </w:p>
    <w:p w14:paraId="1E4459A8" w14:textId="77777777" w:rsidR="00DB59D9" w:rsidRDefault="00000000">
      <w:pPr>
        <w:rPr>
          <w:rFonts w:asciiTheme="minorHAnsi" w:hAnsiTheme="minorHAnsi" w:cstheme="minorHAnsi"/>
          <w:lang w:eastAsia="en-US"/>
        </w:rPr>
      </w:pPr>
      <w:r>
        <w:br w:type="page"/>
      </w:r>
    </w:p>
    <w:p w14:paraId="3F30562D" w14:textId="77777777" w:rsidR="00DB59D9" w:rsidRDefault="00000000">
      <w:pPr>
        <w:pStyle w:val="Nivel01"/>
        <w:numPr>
          <w:ilvl w:val="0"/>
          <w:numId w:val="1"/>
        </w:numPr>
        <w:spacing w:before="0"/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DO OBJETO</w:t>
      </w:r>
    </w:p>
    <w:p w14:paraId="3C66D58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presente Ata tem por objeto o registro de preços para a 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eventual O objeto da presente licitação é a escolha da proposta mais vantajosa para a eventual aquisição de materiais de odontológicos para o Departamento de Odontologia da Policlínica Naval de Rio Grande (PNRG), especificado no item 1 do Termo de Referência, anexo do edital do pregão eletrônico nº 90004/2024, que é pa</w:t>
      </w:r>
      <w:r>
        <w:rPr>
          <w:rFonts w:asciiTheme="minorHAnsi" w:hAnsiTheme="minorHAnsi" w:cstheme="minorHAnsi"/>
          <w:sz w:val="24"/>
          <w:szCs w:val="24"/>
        </w:rPr>
        <w:t>rte integrante desta Ata, assim como as propostas cujos preços tenham sido registrados, independentemente de transcrição.</w:t>
      </w:r>
    </w:p>
    <w:p w14:paraId="5019E2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DOS PREÇOS, ESPECIFICAÇÕES E QUANTITATIVOS</w:t>
      </w:r>
    </w:p>
    <w:p w14:paraId="0C0A6F8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preço registrado, as especificações do objeto, as quantidades mínimas e máximas de cada item, fornecedor(es) e as demais condições ofertadas na(s) proposta(s) são as que seguem: </w:t>
      </w:r>
    </w:p>
    <w:p w14:paraId="076618B7" w14:textId="77777777" w:rsidR="00DB59D9" w:rsidRDefault="00000000">
      <w:pPr>
        <w:spacing w:line="276" w:lineRule="auto"/>
        <w:rPr>
          <w:rFonts w:asciiTheme="minorHAnsi" w:hAnsiTheme="minorHAnsi" w:cstheme="minorHAnsi"/>
          <w:lang w:eastAsia="en-US"/>
        </w:rPr>
      </w:pPr>
      <w:r>
        <w:rPr>
          <w:rFonts w:ascii="Calibri" w:hAnsi="Calibri"/>
          <w:b/>
          <w:sz w:val="24"/>
        </w:rPr>
        <w:t>Item 143 - SACO | Catálogo: 309430</w:t>
        <w:br/>
      </w:r>
      <w:r>
        <w:rPr>
          <w:rFonts w:ascii="Calibri" w:hAnsi="Calibri"/>
          <w:b w:val="0"/>
          <w:sz w:val="24"/>
        </w:rPr>
        <w:t>Descrição: Saco plástico transparente 23 cm x 5 cm (tipo sacolé) pacote com 1000</w:t>
        <w:br/>
      </w:r>
      <w:r>
        <w:rPr>
          <w:rFonts w:ascii="Calibri" w:hAnsi="Calibri"/>
          <w:b w:val="0"/>
          <w:sz w:val="24"/>
        </w:rPr>
        <w:t>Unidade de Fornecimento: Pacote 1000,00 UN</w:t>
        <w:br/>
      </w:r>
      <w:r>
        <w:rPr>
          <w:rFonts w:ascii="Calibri" w:hAnsi="Calibri"/>
          <w:b w:val="0"/>
          <w:sz w:val="24"/>
        </w:rPr>
        <w:t>Marca/Fabricante:  Klemil / Chromos   |   Modelo/Versão:  saco plástico 6 x 23cm</w:t>
        <w:br/>
      </w:r>
      <w:r>
        <w:rPr>
          <w:rFonts w:ascii="Calibri" w:hAnsi="Calibri"/>
          <w:b w:val="0"/>
          <w:sz w:val="24"/>
        </w:rPr>
        <w:t>Quantidade: 500   |   Valor Unitário: R$ R$ 11,50   |   Valor Total do Item: R$ R$ 5.750,00</w:t>
        <w:br/>
      </w:r>
      <w:r>
        <w:rPr>
          <w:rFonts w:ascii="Calibri" w:hAnsi="Calibri"/>
          <w:b w:val="0"/>
          <w:sz w:val="24"/>
        </w:rPr>
        <w:t>----------------------------------------------------------------------------------------------------------------------------------</w:t>
        <w:br/>
      </w:r>
      <w:r>
        <w:rPr>
          <w:rFonts w:ascii="Calibri" w:hAnsi="Calibri"/>
          <w:b w:val="0"/>
          <w:sz w:val="24"/>
        </w:rPr>
        <w:t>Valor total homologado para a empresa:</w:t>
        <w:br/>
      </w:r>
      <w:r>
        <w:rPr>
          <w:rFonts w:ascii="Calibri" w:hAnsi="Calibri"/>
          <w:b/>
          <w:sz w:val="24"/>
        </w:rPr>
        <w:t>R$ R$ 5.750,00 (Cinco mil, setecentos e cinquenta reais)</w:t>
        <w:br/>
      </w:r>
    </w:p>
    <w:p w14:paraId="63C3EF9D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4203EA20" w14:textId="77777777" w:rsidR="00251C60" w:rsidRPr="00DE4348" w:rsidRDefault="00251C60" w:rsidP="00251C60">
      <w:pPr>
        <w:widowControl w:val="0"/>
        <w:tabs>
          <w:tab w:val="center" w:pos="4779"/>
          <w:tab w:val="right" w:pos="9198"/>
        </w:tabs>
        <w:spacing w:before="120" w:after="120" w:line="276" w:lineRule="auto"/>
        <w:ind w:right="-28"/>
        <w:jc w:val="both"/>
        <w:rPr>
          <w:rFonts w:asciiTheme="minorHAnsi" w:hAnsiTheme="minorHAnsi" w:cstheme="minorHAnsi"/>
          <w:u w:val="single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3307"/>
        <w:gridCol w:w="3307"/>
        <w:gridCol w:w="3307"/>
      </w:tblGrid>
      <w:tr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  <w:tc>
          <w:tcPr>
            <w:tcW w:type="dxa" w:w="3307"/>
          </w:tcPr>
          <w:p>
            <w:r>
              <w:rPr>
                <w:b/>
              </w:rPr>
              <w:t>None</w:t>
            </w:r>
          </w:p>
        </w:tc>
      </w:tr>
      <w:tr>
        <w:tc>
          <w:tcPr>
            <w:tcW w:type="dxa" w:w="3307"/>
          </w:tcPr>
          <w:p>
            <w:r>
              <w:t>Item: 143 - SACO (309430)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Descrição Detalhada: Saco plástico transparente 23 cm x 5 cm (tipo sacolé) pacote com 1000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  <w:tc>
          <w:tcPr>
            <w:tcW w:type="dxa" w:w="3307"/>
          </w:tcPr>
          <w:p>
            <w:r>
              <w:t>None</w:t>
            </w:r>
          </w:p>
        </w:tc>
      </w:tr>
      <w:tr>
        <w:tc>
          <w:tcPr>
            <w:tcW w:type="dxa" w:w="3307"/>
          </w:tcPr>
          <w:p>
            <w:r>
              <w:t>Quantidade: 500.0</w:t>
            </w:r>
          </w:p>
        </w:tc>
        <w:tc>
          <w:tcPr>
            <w:tcW w:type="dxa" w:w="3307"/>
          </w:tcPr>
          <w:p>
            <w:r>
              <w:t>Catálogo: 309430</w:t>
            </w:r>
          </w:p>
        </w:tc>
        <w:tc>
          <w:tcPr>
            <w:tcW w:type="dxa" w:w="3307"/>
          </w:tcPr>
          <w:p>
            <w:r>
              <w:t>Descrição: SACO</w:t>
            </w:r>
          </w:p>
        </w:tc>
      </w:tr>
    </w:tbl>
    <w:p w14:paraId="2C227C36" w14:textId="77777777" w:rsidR="00251C60" w:rsidRDefault="00251C60">
      <w:pPr>
        <w:spacing w:line="276" w:lineRule="auto"/>
        <w:rPr>
          <w:rFonts w:asciiTheme="minorHAnsi" w:hAnsiTheme="minorHAnsi" w:cstheme="minorHAnsi"/>
          <w:lang w:eastAsia="en-US"/>
        </w:rPr>
      </w:pPr>
    </w:p>
    <w:p w14:paraId="72CEE990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  <w:lang w:eastAsia="en-US"/>
        </w:rPr>
      </w:pPr>
      <w:r>
        <w:rPr>
          <w:rFonts w:asciiTheme="minorHAnsi" w:hAnsiTheme="minorHAnsi" w:cstheme="minorHAnsi"/>
          <w:sz w:val="24"/>
          <w:szCs w:val="24"/>
          <w:lang w:eastAsia="en-US"/>
        </w:rPr>
        <w:t>A listagem do cadastro de reserva referente ao presente registro de preços consta como anexo a esta Ata.</w:t>
      </w:r>
    </w:p>
    <w:p w14:paraId="06E3254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ÓRGÃO(S) GERENCIADOR E PARTICIPANTE(S)</w:t>
      </w:r>
    </w:p>
    <w:p w14:paraId="531A319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O órgão gerenciador será o Centro de Intendência da Marinha em São Pedro da Aldeia (CeIMSPA)</w:t>
      </w:r>
      <w:r>
        <w:rPr>
          <w:rFonts w:ascii="Calibri" w:hAnsi="Calibri" w:cs="Calibri"/>
          <w:color w:val="000000"/>
          <w:sz w:val="24"/>
          <w:szCs w:val="24"/>
        </w:rPr>
        <w:t>,</w:t>
      </w:r>
      <w:r>
        <w:rPr>
          <w:rFonts w:asciiTheme="minorHAnsi" w:hAnsiTheme="minorHAnsi" w:cstheme="minorHAnsi"/>
          <w:sz w:val="24"/>
          <w:szCs w:val="24"/>
        </w:rPr>
        <w:t xml:space="preserve"> e a relação de órgãos participantes consta em anexo ao Termo de Referência.</w:t>
      </w:r>
    </w:p>
    <w:p w14:paraId="2EEE5AE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DA ADESÃO À ATA DE REGISTRO DE PREÇOS</w:t>
      </w:r>
    </w:p>
    <w:p w14:paraId="09224E53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  <w:lang w:eastAsia="en-US"/>
        </w:rPr>
        <w:t>Não será admitida a adesão à ata de registro de preços decorrente desta licitação ou desta contratação direta, conforme justificativa apresentada nos estudos técnicos preliminares.</w:t>
      </w:r>
    </w:p>
    <w:p w14:paraId="04238A0B" w14:textId="77777777" w:rsidR="00DB59D9" w:rsidRDefault="00000000">
      <w:pPr>
        <w:pStyle w:val="SubTitNN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iCs w:val="0"/>
          <w:color w:val="000000"/>
          <w:sz w:val="24"/>
          <w:szCs w:val="24"/>
        </w:rPr>
        <w:t>Vedação a acr</w:t>
      </w:r>
      <w:r>
        <w:rPr>
          <w:rFonts w:asciiTheme="minorHAnsi" w:hAnsiTheme="minorHAnsi" w:cstheme="minorHAnsi"/>
          <w:sz w:val="24"/>
          <w:szCs w:val="24"/>
        </w:rPr>
        <w:t>éscimo de quantitativos</w:t>
      </w:r>
    </w:p>
    <w:p w14:paraId="62736AD6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É vedado efetuar acréscimos nos quantitativos fixados na ata de registro de preços.</w:t>
      </w:r>
    </w:p>
    <w:p w14:paraId="00D67F5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VALIDADE, FORMALIZAÇÃO DA ATA DE REGISTRO DE PREÇOS E CADASTRO RESERVA</w:t>
      </w:r>
    </w:p>
    <w:p w14:paraId="3FE000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validade da Ata de Registro </w:t>
      </w:r>
      <w:r>
        <w:rPr>
          <w:rFonts w:asciiTheme="minorHAnsi" w:hAnsiTheme="minorHAnsi" w:cstheme="minorHAnsi"/>
          <w:color w:val="000000"/>
          <w:sz w:val="24"/>
          <w:szCs w:val="24"/>
        </w:rPr>
        <w:t>de Preços será de 1 (um) ano, contado a partir do primeiro dia útil subsequente à data de divulgação no PNCP, podendo ser prorrogada por igual período, mediante a anuência do fornecedor, desde que comprovado o preço vantajoso.</w:t>
      </w:r>
    </w:p>
    <w:p w14:paraId="0F729FF4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contrato decorrente da ata de registro de preços terá sua vigência estabelecida no próprio instrumento contratual e observará no momento da contratação e a cada exercício financeiro a disponibilidade de créditos orçamentários, bem como a previsão no plano plurianual, quando ultrapassar 1 (um) exercício financeiro.</w:t>
      </w:r>
    </w:p>
    <w:p w14:paraId="3B6F130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formalização do contrato ou do instrumento substituto deverá haver a indicação da disponibilidade dos créditos orçamentários respectivos.</w:t>
      </w:r>
    </w:p>
    <w:p w14:paraId="2F39E702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 contratação com os fornecedores registrados na ata será formalizada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interessada por intermédio de instrumento contratual, emissão de nota de empenho de despesa, autorização de compra ou outro instrumento hábil, conforme o art. 95 da Lei nº 14.133, de 2021.</w:t>
      </w:r>
    </w:p>
    <w:p w14:paraId="5B600E0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instrumento contratual de que trata o item 5.2. deverá ser assinado no prazo de validade da ata de registro de preços.</w:t>
      </w:r>
    </w:p>
    <w:p w14:paraId="0F079F6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Os contratos decorrentes do sistema de registro de preços poderão ser alterados, observado o art. 124 da Lei nº 14.133, de 2021.</w:t>
      </w:r>
    </w:p>
    <w:p w14:paraId="327BF3DD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Após a homologação da licitação ou da contratação direta, deverão ser observadas as seguintes condições para formalização da ata de registro de preços:</w:t>
      </w:r>
    </w:p>
    <w:p w14:paraId="584721E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Serão registrados na ata os preços e os quantita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 adjudicatário, devendo ser observada a possibilidade de o licitante oferecer ou não proposta em quantitativo inferior ao máximo previ</w:t>
      </w:r>
      <w:r>
        <w:rPr>
          <w:rFonts w:asciiTheme="minorHAnsi" w:hAnsiTheme="minorHAnsi" w:cstheme="minorHAnsi"/>
          <w:color w:val="000000"/>
          <w:sz w:val="24"/>
          <w:szCs w:val="24"/>
        </w:rPr>
        <w:t>sto no edital</w:t>
      </w:r>
      <w:r>
        <w:rPr>
          <w:rFonts w:asciiTheme="minorHAnsi" w:hAnsiTheme="minorHAnsi" w:cstheme="minorHAnsi"/>
          <w:color w:val="FF0000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e se obrigar nos limites dela;</w:t>
      </w:r>
    </w:p>
    <w:p w14:paraId="3BEC72B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incluído na ata, na forma de anexo, o registro dos licitantes ou dos fornecedores que:</w:t>
      </w:r>
    </w:p>
    <w:p w14:paraId="78FA6BA3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Aceitarem cotar os bens, as obras ou os serviços com preços iguais aos do adjudicatário, observada a classificação da licitação; e </w:t>
      </w:r>
    </w:p>
    <w:p w14:paraId="3A004826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Mantiverem sua proposta original. </w:t>
      </w:r>
      <w:bookmarkStart w:id="0" w:name="cadastro_reserva"/>
      <w:bookmarkEnd w:id="0"/>
    </w:p>
    <w:p w14:paraId="37DC9E1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Será respeitada, nas contratações, a ordem de classificação dos licitantes ou dos fornecedores registrados na ata.</w:t>
      </w:r>
    </w:p>
    <w:p w14:paraId="25A8B7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registro a que se refere o item 5.4.2</w:t>
      </w:r>
      <w:r>
        <w:rPr>
          <w:rFonts w:asciiTheme="minorHAnsi" w:hAnsiTheme="minorHAnsi" w:cstheme="minorHAnsi"/>
          <w:b/>
          <w:bCs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tem por obje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a formação de cadastro de reserva para o caso de impossibilidade de atendimento pelo signatário da ata.</w:t>
      </w:r>
    </w:p>
    <w:p w14:paraId="54A249E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Para fins da ordem de classificação, os licitantes ou fornecedores que aceitarem reduzir suas propostas para o preço do adjudicatário antecederão aqueles que mantiverem sua proposta original.</w:t>
      </w:r>
    </w:p>
    <w:p w14:paraId="70FA6B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A habilitação dos licitantes que comporão o cadastro de reserva a que se refere 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cadastro_reserva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5.4.2.2.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somente será efetuada quando houver necessidade de contratação dos licitantes remanescentes, nas seguintes hipóteses:</w:t>
      </w:r>
    </w:p>
    <w:p w14:paraId="51F8112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Quando o l</w:t>
      </w:r>
      <w:r>
        <w:rPr>
          <w:rFonts w:asciiTheme="minorHAnsi" w:hAnsiTheme="minorHAnsi" w:cstheme="minorHAnsi"/>
          <w:color w:val="000000"/>
          <w:sz w:val="24"/>
          <w:szCs w:val="24"/>
        </w:rPr>
        <w:t>icitante vencedor não assinar a ata de registro de preços, no prazo e nas condições estabelecidos no edital; e</w:t>
      </w:r>
    </w:p>
    <w:p w14:paraId="34B62BC8" w14:textId="69B08559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Quando houver o cancel</w:t>
      </w:r>
      <w:r>
        <w:rPr>
          <w:rFonts w:asciiTheme="minorHAnsi" w:hAnsiTheme="minorHAnsi" w:cstheme="minorHAnsi"/>
          <w:sz w:val="24"/>
          <w:szCs w:val="24"/>
        </w:rPr>
        <w:t xml:space="preserve">amento do registro do licitante ou do registro de preços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 w:rsidR="00196418">
        <w:rPr>
          <w:rFonts w:ascii="Calibri" w:hAnsi="Calibri" w:cs="Calibri"/>
          <w:sz w:val="24"/>
          <w:szCs w:val="24"/>
        </w:rPr>
        <w:t>9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4BBA56B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preço registrado com indicação dos licitantes e fornecedores será divulgado no PNCP e ficará disponibilizado durante a vigência da ata de registro de preços.</w:t>
      </w:r>
    </w:p>
    <w:p w14:paraId="469EB4F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Após a homologação da licitação ou da contratação direta, o licitante mais bem classificado ou o fornecedor, no caso da contratação direta, será convocado para assinar a ata de registro de preços, no prazo e nas condições estabelecidos no edital de licitação ou no aviso de contratação direta, sob pena de decair o direito, sem prejuízo das sanções previstas na Lei nº 14.133, de 2021.</w:t>
      </w:r>
    </w:p>
    <w:p w14:paraId="5191C19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prazo de convocação poderá ser prorrogado 1 (uma) vez, por igual período, mediante solicitação do licitante ou fornecedor convocado, desde que apresentada dentro do prazo, devidamente justificada, e que a justificativa seja aceita pela Administração.</w:t>
      </w:r>
    </w:p>
    <w:p w14:paraId="5FBDD2B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ata de registro de preços será assinada por meio de assinatura digital e disponibilizada no Sistema de Registro de Preços.</w:t>
      </w:r>
    </w:p>
    <w:p w14:paraId="1048B9A7" w14:textId="1BD7BCC3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Quando o convocado não assinar a ata de registro de preços no prazo e nas condições estabelecidos no edital ou no aviso de contratação, e observado o disposto no item </w:t>
      </w:r>
      <w:r w:rsidR="00196418">
        <w:rPr>
          <w:rFonts w:asciiTheme="minorHAnsi" w:hAnsiTheme="minorHAnsi" w:cstheme="minorHAnsi"/>
          <w:sz w:val="24"/>
          <w:szCs w:val="24"/>
        </w:rPr>
        <w:t>5.7</w:t>
      </w:r>
      <w:r>
        <w:rPr>
          <w:rFonts w:asciiTheme="minorHAnsi" w:hAnsiTheme="minorHAnsi" w:cstheme="minorHAnsi"/>
          <w:sz w:val="24"/>
          <w:szCs w:val="24"/>
        </w:rPr>
        <w:t>, observando o item 5.7 e subitens, fica facultado à Administração convocar os licitantes remanescentes do cadastro de reserva, na ordem de classificação, para fazê-lo em igual prazo e nas condições propostas pelo primeiro classificado.</w:t>
      </w:r>
    </w:p>
    <w:p w14:paraId="5106FDFB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nenhum dos licitantes que trata o item 5.4.2.1, aceitar a contratação nos termo</w:t>
      </w:r>
      <w:r>
        <w:rPr>
          <w:rFonts w:asciiTheme="minorHAnsi" w:hAnsiTheme="minorHAnsi" w:cstheme="minorHAnsi"/>
          <w:color w:val="000000"/>
          <w:sz w:val="24"/>
          <w:szCs w:val="24"/>
        </w:rPr>
        <w:t>s do item anterior, a Administração, observados o valor es</w:t>
      </w:r>
      <w:r>
        <w:rPr>
          <w:rFonts w:asciiTheme="minorHAnsi" w:eastAsia="Arial" w:hAnsiTheme="minorHAnsi" w:cstheme="minorHAnsi"/>
          <w:color w:val="000000"/>
          <w:sz w:val="24"/>
          <w:szCs w:val="24"/>
        </w:rPr>
        <w:t>ti</w:t>
      </w:r>
      <w:r>
        <w:rPr>
          <w:rFonts w:asciiTheme="minorHAnsi" w:hAnsiTheme="minorHAnsi" w:cstheme="minorHAnsi"/>
          <w:color w:val="000000"/>
          <w:sz w:val="24"/>
          <w:szCs w:val="24"/>
        </w:rPr>
        <w:t>mado e sua eventual atualização nos termos do edital, po</w:t>
      </w:r>
      <w:r>
        <w:rPr>
          <w:rFonts w:asciiTheme="minorHAnsi" w:hAnsiTheme="minorHAnsi" w:cstheme="minorHAnsi"/>
          <w:sz w:val="24"/>
          <w:szCs w:val="24"/>
        </w:rPr>
        <w:t>derá:</w:t>
      </w:r>
    </w:p>
    <w:p w14:paraId="144A5682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Convocar para negociação os demais licitantes ou fornecedores remanescentes cujos preços foram registrados sem redução, observada a ordem de classificação, com vistas à obtenção de preço melhor, mesmo que acima do preço do adjudicatário; ou</w:t>
      </w:r>
    </w:p>
    <w:p w14:paraId="02E58848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Adjudicar e firmar o contrato nas condições ofertadas pelos licitantes ou fornecedores remanescentes, atendida a ordem classificatória, quando frustrada a negociação de melhor condição.</w:t>
      </w:r>
    </w:p>
    <w:p w14:paraId="3AA9D77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existência de preços registrados implicará compromisso de fornecimento nas condições estabelecidas, mas não obrigará a Administração a contratar, facultada a realização de licitação específica para a aquisição pretendida, desde que devidamente justificada.</w:t>
      </w:r>
    </w:p>
    <w:p w14:paraId="20BC01F8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ALTERAÇÃO OU ATUALIZAÇÃO DOS PREÇOS REGISTRADOS</w:t>
      </w:r>
    </w:p>
    <w:p w14:paraId="67A45CB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Os preços registrados poderão ser alterados ou atualizados em decorrência de eventual redução dos preços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no mercado ou de fato que eleve o custo dos bens, das obras ou dos serviços registrados, nas seguintes situações:</w:t>
      </w:r>
    </w:p>
    <w:p w14:paraId="278689BD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Em caso de força maior, caso fortuito ou fato do príncipe ou em decorrência de fatos imprevisíveis ou previsíveis de consequências incalculáveis, que inviabilizem a execução da ata tal </w:t>
      </w:r>
      <w:r>
        <w:rPr>
          <w:rFonts w:asciiTheme="minorHAnsi" w:hAnsiTheme="minorHAnsi" w:cstheme="minorHAnsi"/>
          <w:color w:val="000000"/>
          <w:sz w:val="24"/>
          <w:szCs w:val="24"/>
        </w:rPr>
        <w:t>como pactuada, nos termos da alínea “d” do inciso II do caput do art. 124 da Lei nº 14.133, de 2021;</w:t>
      </w:r>
    </w:p>
    <w:p w14:paraId="6F5EF1A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Em caso de criação, alteração ou ex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nção de quaisquer tributos ou encargos legais ou a superveniência de disposições legais, com comprovada repercussão sobre os preços registrados; </w:t>
      </w:r>
    </w:p>
    <w:p w14:paraId="28694CEA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previsão no edital ou no aviso de contratação direta de cláusula de reajustamento ou repactuação sobre os preços registrados, nos termos da Lei nº 14.133, de 2021.</w:t>
      </w:r>
    </w:p>
    <w:p w14:paraId="6AB87E27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No caso do reajustamento, deverá ser respeitada a contagem da anualidade e o índice previstos para a contratação;  </w:t>
      </w:r>
    </w:p>
    <w:p w14:paraId="42CC9381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No caso da repactuação, poderá ser a pedido do interessado, conforme critérios definidos para a contratação.</w:t>
      </w:r>
    </w:p>
    <w:p w14:paraId="3D43A6F0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NEGOCIAÇÃO DE PREÇOS REGISTRADOS</w:t>
      </w:r>
    </w:p>
    <w:p w14:paraId="67680E5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o preço registrado tornar-se superior ao preço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 no mercado por mo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superveniente,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convocará o fornecedor para negociar a redução do preço registrado.</w:t>
      </w:r>
    </w:p>
    <w:p w14:paraId="1DFA1E0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não aceite reduzir seu preço aos valores pra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cados pelo mercado, o fornecedor será liberado do compromisso assumido quanto ao item registrado, sem aplicação de penalidades administrativas.</w:t>
      </w:r>
    </w:p>
    <w:p w14:paraId="1F5FD6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prevista no item anterior, o gerenciador convocará os fornecedores do cadastro de reserva, na ordem de classificação, para verificar se aceitam reduzir seus preços aos valores de mercado e não convocará os licitantes ou fornecedores que tiveram seu registro cancelado. </w:t>
      </w:r>
    </w:p>
    <w:p w14:paraId="3ABE7185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Se não obtiver êxito nas negociações, o órgão ou en</w:t>
      </w:r>
      <w:r>
        <w:rPr>
          <w:rFonts w:asciiTheme="minorHAnsi" w:eastAsia="Calibri" w:hAnsiTheme="minorHAnsi" w:cstheme="minorHAnsi"/>
          <w:sz w:val="24"/>
          <w:szCs w:val="24"/>
        </w:rPr>
        <w:t>tid</w:t>
      </w:r>
      <w:r>
        <w:rPr>
          <w:rFonts w:asciiTheme="minorHAnsi" w:hAnsiTheme="minorHAnsi" w:cstheme="minorHAnsi"/>
          <w:sz w:val="24"/>
          <w:szCs w:val="24"/>
        </w:rPr>
        <w:t>ade gerenciadora procederá ao cancelamento da ata de registro de preços, adotando as medidas cabíveis para obtenção de contratação mais vantajosa.</w:t>
      </w:r>
      <w:bookmarkStart w:id="1" w:name="reducao_preco_mercado_negociacao_frustra"/>
      <w:bookmarkEnd w:id="1"/>
    </w:p>
    <w:p w14:paraId="3715D9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redução do preço registrado, o gerenciador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para que avaliem a conveniência e a oportunidade de diligenciarem negociação com vistas à alteração contratual, observado o disposto no art. 124 da Lei nº 14.133, de 2021.</w:t>
      </w:r>
    </w:p>
    <w:p w14:paraId="5C378A59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o preço de mercado tornar-se superior ao preço registrado e o fornecedor não poder cumprir as obrigações estabelecidas na ata, será facultado ao fornecedor requerer ao gerenciador a alteração do preço registrado, mediante comprovação de fato superveniente que supostamente o impossibilite de cumprir o compromisso.</w:t>
      </w:r>
      <w:bookmarkStart w:id="2" w:name="hipotese_preco_mercado_maior"/>
      <w:bookmarkEnd w:id="2"/>
    </w:p>
    <w:p w14:paraId="59C35D7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Neste caso, o fornecedor encaminhará, juntamente com o pedido de alteração, a documentação comprobatória ou </w:t>
      </w:r>
      <w:proofErr w:type="spellStart"/>
      <w:r>
        <w:rPr>
          <w:rFonts w:asciiTheme="minorHAnsi" w:hAnsiTheme="minorHAnsi" w:cstheme="minorHAnsi"/>
          <w:sz w:val="24"/>
          <w:szCs w:val="24"/>
        </w:rPr>
        <w:t>a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planilha de custos que demonstre a inviabilidade do preço registrado em relação às condições inicialmente pactuadas.</w:t>
      </w:r>
      <w:bookmarkStart w:id="3" w:name="prova_preco_mercado_maior"/>
      <w:bookmarkEnd w:id="3"/>
    </w:p>
    <w:p w14:paraId="36E6402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hipótese de não comprovação da existência de fato superveniente que inviabilize o preço registrado, o pedido será indeferido pelo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 gerenciadora e o fornecedor deverá cumprir as obrigações estabelecidas na ata, sob pena de cancelamento do seu registro,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sem prejuízo das sanções previstas na Lei nº 14.133, de 2021, e na legislação aplicável.</w:t>
      </w:r>
    </w:p>
    <w:p w14:paraId="3A3702E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Na hipótese de cancelamento do registro do fornecedor, nos termos do item anterior, o gerenciador convocará os fornecedores do cadastro de reserva, na ordem de classificação, para verificar se aceitam manter seus preços registrados, observado o disposto no item 5.7.</w:t>
      </w:r>
    </w:p>
    <w:p w14:paraId="6B77851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obtiver êxito nas negociações, o órgão ou entidade gerenciadora procederá ao cancelamento da ata de registro de preços,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cancelamento_da_ata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9.4.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e adotará as medidas cabíveis para a obtenção da contratação mais vantajosa.</w:t>
      </w:r>
    </w:p>
    <w:p w14:paraId="63392156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Na hipótese de comprovação da majoração do preço de mercado que inviabilize o preço registrado, conforme previsto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hipotese_preco_mercado_maior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e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prova_preco_mercado_maior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7.2.1.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atualizará o preço registrado, de acordo com a realidade dos valores praticados pelo mercado.</w:t>
      </w:r>
    </w:p>
    <w:p w14:paraId="21C0CEC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órgão ou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comunicará aos órgãos e às en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dades que 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verem firmado contratos decorrentes da ata de registro de preços sobre a efe</w:t>
      </w:r>
      <w:r>
        <w:rPr>
          <w:rFonts w:asciiTheme="minorHAnsi" w:eastAsia="Calibri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va alteração do preço registrado, para que avaliem a necessidade de alteração contratual, observado o disposto no art. 124 da Lei nº 14.133, de 2021.</w:t>
      </w:r>
    </w:p>
    <w:p w14:paraId="7CC8E59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REMANEJAMENTO DAS QUANTIDADES REGISTRADAS NA ATA DE REGISTRO DE PREÇOS</w:t>
      </w:r>
    </w:p>
    <w:p w14:paraId="421D52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previstas para os itens com preços registrados nas atas de registro de preços poderão ser remanejadas pelo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entre os órgãos ou as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e não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cipantes do registro de preços.</w:t>
      </w:r>
    </w:p>
    <w:p w14:paraId="79E6BE0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O remanejamento somente poderá ser feito:</w:t>
      </w:r>
    </w:p>
    <w:p w14:paraId="2415BE8F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cipante; ou</w:t>
      </w:r>
    </w:p>
    <w:p w14:paraId="713C328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De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participante.</w:t>
      </w:r>
    </w:p>
    <w:p w14:paraId="2D6ABF21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órgão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que tiver es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mado as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que pretende contratar será considerado participante para efeito do remanejamento.</w:t>
      </w:r>
      <w:bookmarkStart w:id="4" w:name="gerenciador_estimador_é_partic_em_remane"/>
      <w:bookmarkEnd w:id="4"/>
    </w:p>
    <w:p w14:paraId="7333326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de remanejamento de órgão ou entidade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 para órgão ou entidade não participante, serão observados os limites previstos no art. 32 do Decreto nº 11.462, de 2023.</w:t>
      </w:r>
    </w:p>
    <w:p w14:paraId="0E22467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Competirá ao órgão ou à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 autorizar o remanejamento solicitado, com a redução do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 inicialmente informado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cipante, desde que haja prévia anuência do órgão ou da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que sofrer redução dos quantitativos informados.</w:t>
      </w:r>
    </w:p>
    <w:p w14:paraId="53F6B03A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Caso o remanejamento seja feito entre órgãos ou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dades dos Estados, do Distrito Federal ou de Municípios dis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ntos, caberá ao fornecedor beneficiário da ata de registro de preços, observadas as condições nela estabelecidas, optar pela aceitação ou não do fornecimento decorrente do remanejamento dos itens.</w:t>
      </w:r>
    </w:p>
    <w:p w14:paraId="39D38F3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Na hipótese da compra centralizada, não havendo indicação pelo órgão ou pela en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dade gerenciadora, dos quan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ta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vos dos par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 xml:space="preserve">cipantes da compra centralizada, nos termos do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gerenciador_estimador_é_partic_em_remane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8.3.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>, a distribuição das quantidades para a execução descentralizada será por meio do remanejamento.</w:t>
      </w:r>
    </w:p>
    <w:p w14:paraId="042A0B4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CANCELAMENTO DO REGISTRO DO LICITANTE VENCEDOR E DOS PREÇOS REGISTRADOS</w:t>
      </w:r>
      <w:bookmarkStart w:id="5" w:name="cancelamento"/>
      <w:bookmarkEnd w:id="5"/>
    </w:p>
    <w:p w14:paraId="5BFF2B2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registro do fornecedor será cancelado pelo gerenciador, quando o fornecedor:</w:t>
      </w:r>
      <w:bookmarkStart w:id="6" w:name="cancelamento_do_fornecedor"/>
      <w:bookmarkEnd w:id="6"/>
    </w:p>
    <w:p w14:paraId="67289119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Descumprir as condições da ata de registro de preços, sem motivo justificado;</w:t>
      </w:r>
    </w:p>
    <w:p w14:paraId="1A5362E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Não re</w:t>
      </w:r>
      <w:r>
        <w:rPr>
          <w:rFonts w:asciiTheme="minorHAnsi" w:eastAsia="Arial" w:hAnsiTheme="minorHAnsi" w:cstheme="minorHAnsi"/>
          <w:sz w:val="24"/>
          <w:szCs w:val="24"/>
        </w:rPr>
        <w:t>ti</w:t>
      </w:r>
      <w:r>
        <w:rPr>
          <w:rFonts w:asciiTheme="minorHAnsi" w:hAnsiTheme="minorHAnsi" w:cstheme="minorHAnsi"/>
          <w:sz w:val="24"/>
          <w:szCs w:val="24"/>
        </w:rPr>
        <w:t>rar a nota de empenho, ou instrumento equivalente, no prazo estabelecido pela Administração sem justificativa razoável;</w:t>
      </w:r>
    </w:p>
    <w:p w14:paraId="0C06AE5C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Não aceitar manter seu preço registrado, na hipótese prevista no artigo 27, § 2º, do Decreto nº 11.462, de 2023; ou</w:t>
      </w:r>
    </w:p>
    <w:p w14:paraId="775BC2D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 Sofrer sanção prevista nos incisos III ou IV do caput do art. 156 da Lei nº 14.133, de 2021.</w:t>
      </w:r>
    </w:p>
    <w:p w14:paraId="164F37AF" w14:textId="77777777" w:rsidR="00DB59D9" w:rsidRDefault="00000000">
      <w:pPr>
        <w:pStyle w:val="Nvel4"/>
        <w:numPr>
          <w:ilvl w:val="3"/>
          <w:numId w:val="1"/>
        </w:numPr>
        <w:ind w:left="567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aplicação de sanção prevista nos incisos III ou IV do caput do art. 156 da Lei nº 14.133, de 2021, caso a penalidade aplicada ao fornecedor não ultrapasse o prazo de vigência da ata de registro de preços, poderá o órgão ou a entidade gerenciadora poderá, mediante decisão fundamentada, decidir pela manutenção do registro de preços, vedadas contratações derivadas da ata enquanto perdurarem os efeitos da sanção.</w:t>
      </w:r>
    </w:p>
    <w:p w14:paraId="7817EC3E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 xml:space="preserve"> O cancelamento de registros nas hipóteses previstas no item </w:t>
      </w:r>
      <w:r>
        <w:rPr>
          <w:rFonts w:ascii="Calibri" w:hAnsi="Calibri" w:cs="Calibri"/>
          <w:sz w:val="24"/>
          <w:szCs w:val="24"/>
        </w:rPr>
        <w:fldChar w:fldCharType="begin"/>
      </w:r>
      <w:r>
        <w:rPr>
          <w:rFonts w:ascii="Calibri" w:hAnsi="Calibri" w:cs="Calibri"/>
          <w:sz w:val="24"/>
          <w:szCs w:val="24"/>
        </w:rPr>
        <w:instrText xml:space="preserve"> REF cancelamento_do_fornecedor \r \h </w:instrText>
      </w:r>
      <w:r>
        <w:rPr>
          <w:rFonts w:ascii="Calibri" w:hAnsi="Calibri" w:cs="Calibri"/>
          <w:sz w:val="24"/>
          <w:szCs w:val="24"/>
        </w:rPr>
      </w:r>
      <w:r>
        <w:rPr>
          <w:rFonts w:ascii="Calibri" w:hAnsi="Calibri" w:cs="Calibri"/>
          <w:sz w:val="24"/>
          <w:szCs w:val="24"/>
        </w:rPr>
        <w:fldChar w:fldCharType="separate"/>
      </w:r>
      <w:r>
        <w:rPr>
          <w:rFonts w:ascii="Calibri" w:hAnsi="Calibri" w:cs="Calibri"/>
          <w:sz w:val="24"/>
          <w:szCs w:val="24"/>
        </w:rPr>
        <w:t>9.1.</w:t>
      </w:r>
      <w:r>
        <w:rPr>
          <w:rFonts w:ascii="Calibri" w:hAnsi="Calibri" w:cs="Calibri"/>
          <w:sz w:val="24"/>
          <w:szCs w:val="24"/>
        </w:rPr>
        <w:fldChar w:fldCharType="end"/>
      </w:r>
      <w:r>
        <w:rPr>
          <w:rFonts w:asciiTheme="minorHAnsi" w:hAnsiTheme="minorHAnsi" w:cstheme="minorHAnsi"/>
          <w:sz w:val="24"/>
          <w:szCs w:val="24"/>
        </w:rPr>
        <w:t xml:space="preserve"> será formalizado por despacho do órgão ou da entidade gerenciadora, garantidos os princípios do contraditório e da ampla defesa.</w:t>
      </w:r>
    </w:p>
    <w:p w14:paraId="48CF0527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Na hipótese de cancelamento do registro do fornecedor, o órgão ou a entidade gerenciadora poderá convocar os licitantes que compõem o cadastro de reserva, observada a ordem de classificação.</w:t>
      </w:r>
    </w:p>
    <w:p w14:paraId="4905821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cancelamento dos preços registrados poderá ser realizado pelo gerenciador, em determinada ata de registro de preços, total ou parcialmente, nas seguintes hipóteses, desde que devidamente comprovadas e justificadas:</w:t>
      </w:r>
      <w:bookmarkStart w:id="7" w:name="cancelamento_da_ata"/>
      <w:bookmarkEnd w:id="7"/>
      <w:r>
        <w:rPr>
          <w:rFonts w:asciiTheme="minorHAnsi" w:hAnsiTheme="minorHAnsi" w:cstheme="minorHAnsi"/>
          <w:sz w:val="24"/>
          <w:szCs w:val="24"/>
        </w:rPr>
        <w:t xml:space="preserve"> </w:t>
      </w:r>
    </w:p>
    <w:p w14:paraId="735D36F3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Por razão de interesse público;</w:t>
      </w:r>
    </w:p>
    <w:p w14:paraId="5A11ECC1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A pedido do fornecedor, decorrente de caso fortuito ou força maior; ou</w:t>
      </w:r>
    </w:p>
    <w:p w14:paraId="7CB49847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Se não houver êxito nas negociações, nas hipóteses em que o preço de mercado tornar-se superior ou inferior ao preço registrado, nos termos do artigos 26, § 3º e  27, § 4º, ambos do Decreto nº 11.462, de 2023. </w:t>
      </w:r>
    </w:p>
    <w:p w14:paraId="3742D8C6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DAS PENALIDADES</w:t>
      </w:r>
    </w:p>
    <w:p w14:paraId="1A82FCDF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O de</w:t>
      </w:r>
      <w:r>
        <w:rPr>
          <w:rFonts w:asciiTheme="minorHAnsi" w:hAnsiTheme="minorHAnsi" w:cstheme="minorHAnsi"/>
          <w:color w:val="000000"/>
          <w:sz w:val="24"/>
          <w:szCs w:val="24"/>
        </w:rPr>
        <w:t>scumprimento da Ata de Registro de Preços ensejará aplicação das penalidades estabelecidas no edital.</w:t>
      </w:r>
    </w:p>
    <w:p w14:paraId="2E2BC1CB" w14:textId="77777777" w:rsidR="00DB59D9" w:rsidRDefault="00000000">
      <w:pPr>
        <w:pStyle w:val="Nvel3"/>
        <w:numPr>
          <w:ilvl w:val="2"/>
          <w:numId w:val="1"/>
        </w:numPr>
        <w:ind w:left="284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As sanções t</w:t>
      </w:r>
      <w:r>
        <w:rPr>
          <w:rFonts w:asciiTheme="minorHAnsi" w:hAnsiTheme="minorHAnsi" w:cstheme="minorHAnsi"/>
          <w:sz w:val="24"/>
          <w:szCs w:val="24"/>
        </w:rPr>
        <w:t xml:space="preserve">ambém se aplicam aos integrantes do cadastro de reserva no registro de preços que, convocados, não honrarem o compromisso assumido injustificadamente após terem assinado a ata. </w:t>
      </w:r>
    </w:p>
    <w:p w14:paraId="5FB646DC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lastRenderedPageBreak/>
        <w:t>É da competência do gerenciador a aplicação das penalidades decorrentes do descumprimento do pactuado nesta ata de registro de preço (art. 7º, inc. XIV, do Decreto nº 11.462, de 2023), exceto nas hipóteses em que o descumprimento disser respeito às contratações dos órgãos ou entidade participante, caso no qual caberá ao respectivo órgão participante a aplicação da penalidade (art. 8º, inc. IX, do Decreto nº 11.462, de 2023).</w:t>
      </w:r>
    </w:p>
    <w:p w14:paraId="6EC95603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 órgão ou entidade participante deverá comunicar ao órgão gerenciador qualquer das ocorrências previstas no item 9.1, dada a necessidade de instauração de procedimento para cancelamento do registro do fornecedor.</w:t>
      </w:r>
    </w:p>
    <w:p w14:paraId="3CF5A71A" w14:textId="77777777" w:rsidR="00DB59D9" w:rsidRDefault="00000000">
      <w:pPr>
        <w:pStyle w:val="Nivel01"/>
        <w:numPr>
          <w:ilvl w:val="0"/>
          <w:numId w:val="1"/>
        </w:numPr>
        <w:ind w:left="0" w:firstLine="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CONDIÇÕES GERAIS</w:t>
      </w:r>
    </w:p>
    <w:p w14:paraId="37186D95" w14:textId="77777777" w:rsidR="00DB59D9" w:rsidRDefault="00000000">
      <w:pPr>
        <w:pStyle w:val="Nivel2"/>
        <w:numPr>
          <w:ilvl w:val="1"/>
          <w:numId w:val="1"/>
        </w:num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sz w:val="24"/>
          <w:szCs w:val="24"/>
        </w:rPr>
        <w:t>As condições gerais de execução do objeto, tais como os prazos para entrega e recebimento, as obrigações da Administração e do fornecedor registrado, penalidades e demais condições do ajuste, encontram-se definidos no Termo de Referência,</w:t>
      </w:r>
      <w:r>
        <w:rPr>
          <w:rFonts w:asciiTheme="minorHAnsi" w:hAnsiTheme="minorHAnsi" w:cstheme="minorHAnsi"/>
          <w:color w:val="000000"/>
          <w:sz w:val="24"/>
          <w:szCs w:val="24"/>
        </w:rPr>
        <w:t xml:space="preserve"> ANEXO AO EDITAL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F30BE80" w14:textId="77777777" w:rsidR="00DB59D9" w:rsidRDefault="00000000">
      <w:pPr>
        <w:pStyle w:val="Nvel2-Red"/>
        <w:numPr>
          <w:ilvl w:val="1"/>
          <w:numId w:val="1"/>
        </w:numPr>
        <w:ind w:left="0" w:firstLine="0"/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</w:pPr>
      <w:r>
        <w:rPr>
          <w:rFonts w:asciiTheme="minorHAnsi" w:hAnsiTheme="minorHAnsi" w:cstheme="minorHAnsi"/>
          <w:i w:val="0"/>
          <w:iCs w:val="0"/>
          <w:color w:val="000000"/>
          <w:sz w:val="24"/>
          <w:szCs w:val="24"/>
        </w:rPr>
        <w:t>No caso de adjudicação por preço global de grupo de itens, só será admitida a contratação de parte de itens do grupo se houver prévia pesquisa de mercado e demonstração de sua vantagem para o órgão ou a entidade.</w:t>
      </w:r>
    </w:p>
    <w:p w14:paraId="4C091861" w14:textId="77777777" w:rsidR="00DB59D9" w:rsidRDefault="00000000">
      <w:pPr>
        <w:rPr>
          <w:rFonts w:asciiTheme="minorHAnsi" w:hAnsiTheme="minorHAnsi" w:cstheme="minorHAnsi"/>
        </w:rPr>
      </w:pPr>
      <w:r>
        <w:br w:type="page"/>
      </w:r>
    </w:p>
    <w:p w14:paraId="13F91FF3" w14:textId="77777777" w:rsidR="00DB59D9" w:rsidRDefault="00000000">
      <w:pPr>
        <w:widowControl w:val="0"/>
        <w:spacing w:after="120" w:line="276" w:lineRule="auto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Para firmeza e validade do pactuado, a presente Ata depois de lida e achada em ordem, vai assinada eletronicamente pelas partes</w:t>
      </w:r>
      <w:r>
        <w:rPr>
          <w:rFonts w:asciiTheme="minorHAnsi" w:hAnsiTheme="minorHAnsi" w:cstheme="minorHAnsi"/>
          <w:color w:val="000000"/>
        </w:rPr>
        <w:t xml:space="preserve"> e encaminhada cópia aos demais órgãos participantes (se houver). </w:t>
      </w:r>
    </w:p>
    <w:p w14:paraId="574B7788" w14:textId="77777777" w:rsidR="00DB59D9" w:rsidRDefault="00000000">
      <w:pPr>
        <w:jc w:val="right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Brasília-DF, na data da assinatura.</w:t>
      </w:r>
    </w:p>
    <w:p w14:paraId="05357679" w14:textId="77777777" w:rsidR="00DB59D9" w:rsidRDefault="00DB59D9">
      <w:pPr>
        <w:jc w:val="right"/>
        <w:rPr>
          <w:rFonts w:asciiTheme="minorHAnsi" w:hAnsiTheme="minorHAnsi" w:cstheme="minorHAnsi"/>
        </w:rPr>
      </w:pPr>
    </w:p>
    <w:p w14:paraId="6F0EC02B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3EF2503" w14:textId="77777777" w:rsidR="00DB59D9" w:rsidRDefault="00DB59D9">
      <w:pPr>
        <w:jc w:val="center"/>
        <w:rPr>
          <w:rFonts w:asciiTheme="minorHAnsi" w:hAnsiTheme="minorHAnsi" w:cstheme="minorHAnsi"/>
        </w:rPr>
      </w:pPr>
    </w:p>
    <w:p w14:paraId="286BB371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tbl>
      <w:tblPr>
        <w:tblW w:w="9075" w:type="dxa"/>
        <w:tblInd w:w="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43"/>
        <w:gridCol w:w="4532"/>
      </w:tblGrid>
      <w:tr w:rsidR="00DB59D9" w14:paraId="2DF6DEDD" w14:textId="77777777">
        <w:tc>
          <w:tcPr>
            <w:tcW w:w="4542" w:type="dxa"/>
          </w:tcPr>
          <w:p w14:paraId="46CFB73D" w14:textId="77777777" w:rsidR="00DB59D9" w:rsidRDefault="00000000">
            <w:pPr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Pelo Contratante</w:t>
            </w:r>
            <w:r>
              <w:rPr>
                <w:rFonts w:asciiTheme="minorHAnsi" w:hAnsiTheme="minorHAnsi" w:cstheme="minorHAnsi"/>
                <w:color w:val="000000"/>
              </w:rPr>
              <w:t>:</w:t>
            </w:r>
          </w:p>
          <w:p w14:paraId="29B57A0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21804DD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E7F5857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566CFB70" w14:textId="77777777" w:rsidR="00DB59D9" w:rsidRDefault="00000000">
            <w:pPr>
              <w:rPr>
                <w:rFonts w:asciiTheme="minorHAnsi" w:hAnsiTheme="minorHAnsi" w:cstheme="minorHAnsi"/>
                <w:b/>
                <w:bCs/>
                <w:color w:val="000000"/>
              </w:rPr>
            </w:pPr>
            <w:r>
              <w:rPr>
                <w:rFonts w:asciiTheme="minorHAnsi" w:hAnsiTheme="minorHAnsi" w:cstheme="minorHAnsi"/>
                <w:b/>
                <w:bCs/>
                <w:color w:val="000000"/>
              </w:rPr>
              <w:t>Pela Contratada:</w:t>
            </w:r>
          </w:p>
        </w:tc>
      </w:tr>
      <w:tr w:rsidR="00DB59D9" w14:paraId="63DF1A29" w14:textId="77777777">
        <w:tc>
          <w:tcPr>
            <w:tcW w:w="4542" w:type="dxa"/>
          </w:tcPr>
          <w:p w14:paraId="72D0A2B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 xml:space="preserve">JOSE EDISIO PEREIRA DA SILVEIRA</w:t>
            </w:r>
          </w:p>
          <w:p w14:paraId="48FE5B68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Capitão de Fragata (IM)</w:t>
            </w:r>
          </w:p>
          <w:p w14:paraId="61058F67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Ordenador de Despesa</w:t>
            </w:r>
          </w:p>
          <w:p w14:paraId="2D5B4E77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22DE0239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</w:rPr>
              <w:t xml:space="preserve">None</w:t>
            </w:r>
          </w:p>
          <w:p w14:paraId="3A081A20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</w:tr>
      <w:tr w:rsidR="00DB59D9" w14:paraId="34CB136D" w14:textId="77777777">
        <w:tc>
          <w:tcPr>
            <w:tcW w:w="4542" w:type="dxa"/>
          </w:tcPr>
          <w:p w14:paraId="00FB7D40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4B00B85F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75ADF03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CE5AC99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021B4706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  <w:tc>
          <w:tcPr>
            <w:tcW w:w="4532" w:type="dxa"/>
          </w:tcPr>
          <w:p w14:paraId="6B8051B2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DB59D9" w14:paraId="4874D563" w14:textId="77777777">
        <w:tc>
          <w:tcPr>
            <w:tcW w:w="4542" w:type="dxa"/>
          </w:tcPr>
          <w:p w14:paraId="6DB50D71" w14:textId="77777777" w:rsidR="00DB59D9" w:rsidRDefault="00000000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  <w:r>
              <w:rPr>
                <w:rFonts w:asciiTheme="minorHAnsi" w:hAnsiTheme="minorHAnsi" w:cstheme="minorHAnsi"/>
                <w:color w:val="000000"/>
              </w:rPr>
              <w:t>Testemunha</w:t>
            </w:r>
          </w:p>
          <w:p w14:paraId="55D1A7E1" w14:textId="77777777" w:rsidR="00DB59D9" w:rsidRDefault="00000000">
            <w:pPr>
              <w:jc w:val="center"/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</w:pPr>
            <w:r>
              <w:rPr>
                <w:rFonts w:asciiTheme="minorHAnsi" w:eastAsia="Arial" w:hAnsiTheme="minorHAnsi" w:cstheme="minorHAnsi"/>
                <w:color w:val="000000"/>
                <w:bdr w:val="single" w:sz="2" w:space="1" w:color="000000"/>
              </w:rPr>
              <w:t>ASSINADO DIGITALMENTE</w:t>
            </w:r>
          </w:p>
        </w:tc>
        <w:tc>
          <w:tcPr>
            <w:tcW w:w="4532" w:type="dxa"/>
          </w:tcPr>
          <w:p w14:paraId="67223814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26CE533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545A8FA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  <w:p w14:paraId="31453E53" w14:textId="77777777" w:rsidR="00DB59D9" w:rsidRDefault="00DB59D9">
            <w:pPr>
              <w:jc w:val="center"/>
              <w:rPr>
                <w:rFonts w:asciiTheme="minorHAnsi" w:hAnsiTheme="minorHAnsi" w:cstheme="minorHAnsi"/>
                <w:color w:val="000000"/>
              </w:rPr>
            </w:pPr>
          </w:p>
        </w:tc>
      </w:tr>
    </w:tbl>
    <w:p w14:paraId="452B0BA2" w14:textId="77777777" w:rsidR="00DB59D9" w:rsidRDefault="00DB59D9">
      <w:pPr>
        <w:jc w:val="center"/>
        <w:rPr>
          <w:rFonts w:asciiTheme="minorHAnsi" w:hAnsiTheme="minorHAnsi" w:cstheme="minorHAnsi"/>
          <w:color w:val="FF0000"/>
        </w:rPr>
      </w:pPr>
    </w:p>
    <w:p w14:paraId="1F6A296F" w14:textId="77777777" w:rsidR="00DB59D9" w:rsidRDefault="00DB59D9">
      <w:pPr>
        <w:widowControl w:val="0"/>
        <w:spacing w:line="276" w:lineRule="auto"/>
        <w:jc w:val="center"/>
        <w:rPr>
          <w:rFonts w:asciiTheme="minorHAnsi" w:hAnsiTheme="minorHAnsi" w:cstheme="minorHAnsi"/>
          <w:color w:val="000000"/>
        </w:rPr>
      </w:pPr>
    </w:p>
    <w:p w14:paraId="46C44A29" w14:textId="77777777" w:rsidR="00DB59D9" w:rsidRDefault="00DB59D9">
      <w:pPr>
        <w:widowControl w:val="0"/>
        <w:spacing w:line="276" w:lineRule="auto"/>
        <w:ind w:right="-30"/>
        <w:jc w:val="center"/>
      </w:pPr>
    </w:p>
    <w:sectPr w:rsidR="00DB59D9">
      <w:footerReference w:type="default" r:id="rId9"/>
      <w:pgSz w:w="11906" w:h="16838"/>
      <w:pgMar w:top="1134" w:right="850" w:bottom="1844" w:left="1134" w:header="0" w:footer="1134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0F8F611" w14:textId="77777777" w:rsidR="00175BE0" w:rsidRDefault="00175BE0">
      <w:r>
        <w:separator/>
      </w:r>
    </w:p>
  </w:endnote>
  <w:endnote w:type="continuationSeparator" w:id="0">
    <w:p w14:paraId="72906542" w14:textId="77777777" w:rsidR="00175BE0" w:rsidRDefault="00175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font_Spranq_eco_Sans">
    <w:altName w:val="Cambria"/>
    <w:charset w:val="00"/>
    <w:family w:val="roman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E0B0F3" w14:textId="77777777" w:rsidR="00DB59D9" w:rsidRDefault="00000000">
    <w:pPr>
      <w:pStyle w:val="Rodap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____________________________________________________________________</w:t>
    </w:r>
  </w:p>
  <w:p w14:paraId="08F132EC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Câmara Nacional de Modelos de Licitações e Contratos da Consultoria-Geral da União</w:t>
    </w:r>
  </w:p>
  <w:p w14:paraId="283B36A4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Atualização: maio/2023</w:t>
    </w:r>
  </w:p>
  <w:p w14:paraId="02AC002F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Ata de Registro de Preços –  Lei nº 14.133, de 2021.</w:t>
    </w:r>
  </w:p>
  <w:p w14:paraId="1B8FACF2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Aprovado pela Secretaria de Gestão e Inovação.</w:t>
    </w:r>
  </w:p>
  <w:p w14:paraId="71EA7749" w14:textId="77777777" w:rsidR="00DB59D9" w:rsidRDefault="00000000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Identidade visual pela Secretaria de Gestão e Inovação</w:t>
    </w:r>
  </w:p>
  <w:p w14:paraId="4AEF2547" w14:textId="77777777" w:rsidR="00DB59D9" w:rsidRDefault="00DB59D9">
    <w:pPr>
      <w:pStyle w:val="Rodap"/>
      <w:rPr>
        <w:rFonts w:ascii="Arial" w:hAnsi="Arial" w:cs="Arial"/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B537C6" w14:textId="77777777" w:rsidR="00175BE0" w:rsidRDefault="00175BE0">
      <w:r>
        <w:separator/>
      </w:r>
    </w:p>
  </w:footnote>
  <w:footnote w:type="continuationSeparator" w:id="0">
    <w:p w14:paraId="79EFE3B5" w14:textId="77777777" w:rsidR="00175BE0" w:rsidRDefault="00175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C5C93"/>
    <w:multiLevelType w:val="multilevel"/>
    <w:tmpl w:val="8D5A32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9842BC1"/>
    <w:multiLevelType w:val="multilevel"/>
    <w:tmpl w:val="67988E1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ascii="Calibri" w:hAnsi="Calibri"/>
        <w:b/>
        <w:color w:val="auto"/>
        <w:sz w:val="24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283" w:hanging="432"/>
      </w:pPr>
      <w:rPr>
        <w:rFonts w:ascii="Calibri" w:hAnsi="Calibri"/>
        <w:i w:val="0"/>
        <w:iCs w:val="0"/>
        <w:color w:val="0000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497" w:hanging="504"/>
      </w:pPr>
      <w:rPr>
        <w:rFonts w:asciiTheme="minorHAnsi" w:hAnsiTheme="minorHAnsi" w:cstheme="minorHAnsi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asciiTheme="minorHAnsi" w:hAnsiTheme="minorHAnsi" w:cstheme="minorHAnsi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num w:numId="1" w16cid:durableId="662584892">
    <w:abstractNumId w:val="1"/>
  </w:num>
  <w:num w:numId="2" w16cid:durableId="3626353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D9"/>
    <w:rsid w:val="00175BE0"/>
    <w:rsid w:val="00196418"/>
    <w:rsid w:val="00251C60"/>
    <w:rsid w:val="00277E84"/>
    <w:rsid w:val="003F16DF"/>
    <w:rsid w:val="0041477D"/>
    <w:rsid w:val="005A0B28"/>
    <w:rsid w:val="00754758"/>
    <w:rsid w:val="0097672B"/>
    <w:rsid w:val="009B2AA0"/>
    <w:rsid w:val="009C0790"/>
    <w:rsid w:val="00AB0AF9"/>
    <w:rsid w:val="00CE13E2"/>
    <w:rsid w:val="00D2155E"/>
    <w:rsid w:val="00DB59D9"/>
    <w:rsid w:val="00DE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126646"/>
  <w15:docId w15:val="{1C0E79B1-12F6-437D-92CC-79B05BB03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lang w:val="pt-BR" w:eastAsia="pt-B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Ecofont_Spranq_eco_Sans" w:hAnsi="Ecofont_Spranq_eco_Sans" w:cs="Tahoma"/>
      <w:szCs w:val="24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/>
      <w:outlineLvl w:val="0"/>
    </w:pPr>
    <w:rPr>
      <w:rFonts w:ascii="Cambria" w:hAnsi="Cambria" w:cs="Times New Roman"/>
      <w:b/>
      <w:bCs/>
      <w:color w:val="365F91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GradeColorida-nfase1Char">
    <w:name w:val="Grade Colorida - Ênfase 1 Char"/>
    <w:qFormat/>
    <w:rPr>
      <w:rFonts w:ascii="Ecofont_Spranq_eco_Sans" w:eastAsia="Calibri" w:hAnsi="Ecofont_Spranq_eco_Sans" w:cs="Tahoma"/>
      <w:i/>
      <w:iCs/>
      <w:color w:val="000000"/>
      <w:szCs w:val="24"/>
      <w:lang w:val="pt-BR" w:eastAsia="en-US" w:bidi="ar-SA"/>
    </w:rPr>
  </w:style>
  <w:style w:type="character" w:customStyle="1" w:styleId="CorpodetextoChar">
    <w:name w:val="Corpo de texto Char"/>
    <w:qFormat/>
    <w:rPr>
      <w:sz w:val="24"/>
      <w:szCs w:val="24"/>
    </w:rPr>
  </w:style>
  <w:style w:type="character" w:styleId="Hyperlink">
    <w:name w:val="Hyperlink"/>
    <w:basedOn w:val="Fontepargpadro"/>
    <w:uiPriority w:val="99"/>
    <w:semiHidden/>
    <w:unhideWhenUsed/>
    <w:rsid w:val="00050B46"/>
    <w:rPr>
      <w:color w:val="0000FF"/>
      <w:u w:val="single"/>
    </w:rPr>
  </w:style>
  <w:style w:type="character" w:customStyle="1" w:styleId="CabealhoChar">
    <w:name w:val="Cabeçalho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RodapChar">
    <w:name w:val="Rodapé Char"/>
    <w:basedOn w:val="Fontepargpadro"/>
    <w:qFormat/>
    <w:rPr>
      <w:rFonts w:ascii="Ecofont_Spranq_eco_Sans" w:hAnsi="Ecofont_Spranq_eco_Sans" w:cs="Tahoma"/>
      <w:sz w:val="24"/>
      <w:szCs w:val="24"/>
    </w:rPr>
  </w:style>
  <w:style w:type="character" w:customStyle="1" w:styleId="citao2Char">
    <w:name w:val="citação 2 Char"/>
    <w:basedOn w:val="CitaoChar"/>
    <w:qFormat/>
    <w:rPr>
      <w:rFonts w:ascii="Ecofont_Spranq_eco_Sans" w:eastAsia="Calibri" w:hAnsi="Ecofont_Spranq_eco_Sans" w:cs="Tahoma"/>
      <w:i/>
      <w:iCs/>
      <w:color w:val="000000"/>
      <w:sz w:val="24"/>
      <w:szCs w:val="24"/>
      <w:shd w:val="clear" w:color="auto" w:fill="FFFFCC"/>
      <w:lang w:eastAsia="en-US"/>
    </w:rPr>
  </w:style>
  <w:style w:type="character" w:customStyle="1" w:styleId="CitaoChar">
    <w:name w:val="Citação Char"/>
    <w:basedOn w:val="Fontepargpadro"/>
    <w:qFormat/>
    <w:rPr>
      <w:rFonts w:ascii="Ecofont_Spranq_eco_Sans" w:hAnsi="Ecofont_Spranq_eco_Sans" w:cs="Tahoma"/>
      <w:i/>
      <w:iCs/>
      <w:color w:val="000000"/>
      <w:sz w:val="24"/>
      <w:szCs w:val="24"/>
    </w:rPr>
  </w:style>
  <w:style w:type="character" w:customStyle="1" w:styleId="Ttulo1Char">
    <w:name w:val="Título 1 Char"/>
    <w:basedOn w:val="Fontepargpadro"/>
    <w:qFormat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Nivel1Char">
    <w:name w:val="Nivel1 Char"/>
    <w:basedOn w:val="Ttulo1Char"/>
    <w:qFormat/>
    <w:rPr>
      <w:rFonts w:ascii="Arial" w:eastAsia="Times New Roman" w:hAnsi="Arial" w:cs="Arial"/>
      <w:b/>
      <w:bCs/>
      <w:color w:val="365F91"/>
      <w:sz w:val="28"/>
      <w:szCs w:val="28"/>
    </w:rPr>
  </w:style>
  <w:style w:type="character" w:styleId="Refdecomentrio">
    <w:name w:val="annotation reference"/>
    <w:basedOn w:val="Fontepargpadro"/>
    <w:qFormat/>
    <w:rPr>
      <w:sz w:val="16"/>
      <w:szCs w:val="16"/>
    </w:rPr>
  </w:style>
  <w:style w:type="character" w:customStyle="1" w:styleId="TextodecomentrioChar">
    <w:name w:val="Texto de comentário Char"/>
    <w:basedOn w:val="Fontepargpadro"/>
    <w:qFormat/>
    <w:rPr>
      <w:rFonts w:ascii="Ecofont_Spranq_eco_Sans" w:hAnsi="Ecofont_Spranq_eco_Sans" w:cs="Tahoma"/>
    </w:rPr>
  </w:style>
  <w:style w:type="character" w:customStyle="1" w:styleId="AssuntodocomentrioChar">
    <w:name w:val="Assunto do comentário Char"/>
    <w:basedOn w:val="TextodecomentrioChar"/>
    <w:qFormat/>
    <w:rPr>
      <w:rFonts w:ascii="Ecofont_Spranq_eco_Sans" w:hAnsi="Ecofont_Spranq_eco_Sans" w:cs="Tahoma"/>
      <w:b/>
      <w:bCs/>
    </w:rPr>
  </w:style>
  <w:style w:type="character" w:customStyle="1" w:styleId="TextodebaloChar">
    <w:name w:val="Texto de balão Char"/>
    <w:basedOn w:val="Fontepargpadro"/>
    <w:qFormat/>
    <w:rPr>
      <w:rFonts w:ascii="Segoe UI" w:hAnsi="Segoe UI" w:cs="Segoe UI"/>
      <w:sz w:val="18"/>
      <w:szCs w:val="18"/>
    </w:rPr>
  </w:style>
  <w:style w:type="character" w:customStyle="1" w:styleId="Nivel01Char">
    <w:name w:val="Nivel 01 Char"/>
    <w:basedOn w:val="Fontepargpadro"/>
    <w:qFormat/>
    <w:rPr>
      <w:rFonts w:ascii="Arial" w:eastAsia="Times New Roman" w:hAnsi="Arial" w:cs="Arial"/>
      <w:b/>
      <w:bCs/>
      <w:lang w:eastAsia="en-US"/>
    </w:rPr>
  </w:style>
  <w:style w:type="character" w:customStyle="1" w:styleId="Nivel2Char">
    <w:name w:val="Nivel 2 Char"/>
    <w:basedOn w:val="Fontepargpadro"/>
    <w:qFormat/>
    <w:rPr>
      <w:rFonts w:ascii="Arial" w:hAnsi="Arial" w:cs="Arial"/>
    </w:rPr>
  </w:style>
  <w:style w:type="character" w:customStyle="1" w:styleId="Nvel2-RedChar">
    <w:name w:val="Nível 2 -Red Char"/>
    <w:basedOn w:val="Nivel2Char"/>
    <w:qFormat/>
    <w:rPr>
      <w:rFonts w:ascii="Arial" w:hAnsi="Arial" w:cs="Arial"/>
      <w:i/>
      <w:iCs/>
      <w:color w:val="FF0000"/>
    </w:rPr>
  </w:style>
  <w:style w:type="character" w:customStyle="1" w:styleId="ouChar">
    <w:name w:val="ou Char"/>
    <w:basedOn w:val="Fontepargpadro"/>
    <w:qFormat/>
    <w:rPr>
      <w:rFonts w:ascii="Arial" w:eastAsia="Calibri" w:hAnsi="Arial" w:cs="Arial"/>
      <w:b/>
      <w:bCs/>
      <w:i/>
      <w:iCs/>
      <w:color w:val="FF0000"/>
      <w:szCs w:val="24"/>
      <w:u w:val="single"/>
    </w:rPr>
  </w:style>
  <w:style w:type="character" w:customStyle="1" w:styleId="Nvel3-RChar">
    <w:name w:val="Nível 3-R Char"/>
    <w:basedOn w:val="Fontepargpadro"/>
    <w:qFormat/>
    <w:rPr>
      <w:rFonts w:ascii="Arial" w:eastAsia="Times New Roman" w:hAnsi="Arial" w:cs="Arial"/>
      <w:i/>
      <w:iCs/>
      <w:color w:val="FF0000"/>
    </w:rPr>
  </w:style>
  <w:style w:type="character" w:customStyle="1" w:styleId="Nvel3Char">
    <w:name w:val="Nível 3 Char"/>
    <w:basedOn w:val="Nvel3-R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Nvel4Char">
    <w:name w:val="Nível 4 Char"/>
    <w:basedOn w:val="Nvel3Char"/>
    <w:qFormat/>
    <w:rPr>
      <w:rFonts w:ascii="Arial" w:eastAsia="Times New Roman" w:hAnsi="Arial" w:cs="Arial"/>
      <w:i w:val="0"/>
      <w:iCs w:val="0"/>
      <w:color w:val="FF0000"/>
    </w:rPr>
  </w:style>
  <w:style w:type="character" w:customStyle="1" w:styleId="SubTitNNChar">
    <w:name w:val="SubTitNN Char"/>
    <w:basedOn w:val="Fontepargpadro"/>
    <w:qFormat/>
    <w:rPr>
      <w:rFonts w:ascii="Arial" w:hAnsi="Arial" w:cs="Arial"/>
      <w:b/>
      <w:bCs/>
      <w:iCs/>
    </w:rPr>
  </w:style>
  <w:style w:type="character" w:customStyle="1" w:styleId="Forte1">
    <w:name w:val="Forte1"/>
    <w:basedOn w:val="Fontepargpadro"/>
    <w:qFormat/>
    <w:rPr>
      <w:b/>
      <w:bCs/>
    </w:rPr>
  </w:style>
  <w:style w:type="character" w:customStyle="1" w:styleId="object">
    <w:name w:val="object"/>
    <w:basedOn w:val="Fontepargpadro"/>
    <w:qFormat/>
    <w:rsid w:val="00050B46"/>
  </w:style>
  <w:style w:type="character" w:customStyle="1" w:styleId="object-hover">
    <w:name w:val="object-hover"/>
    <w:basedOn w:val="Fontepargpadro"/>
    <w:qFormat/>
    <w:rsid w:val="00050B46"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before="280" w:after="280"/>
    </w:pPr>
    <w:rPr>
      <w:rFonts w:ascii="Times New Roman" w:hAnsi="Times New Roman" w:cs="Times New Roman"/>
    </w:r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GradeColorida-nfase11">
    <w:name w:val="Grade Colorida - Ênfase 11"/>
    <w:basedOn w:val="Normal"/>
    <w:next w:val="Normal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i/>
      <w:iCs/>
      <w:color w:val="000000"/>
      <w:sz w:val="20"/>
      <w:lang w:eastAsia="en-US"/>
    </w:rPr>
  </w:style>
  <w:style w:type="paragraph" w:styleId="PargrafodaLista">
    <w:name w:val="List Paragraph"/>
    <w:basedOn w:val="Normal"/>
    <w:qFormat/>
    <w:pPr>
      <w:ind w:left="720"/>
      <w:contextualSpacing/>
    </w:p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pPr>
      <w:tabs>
        <w:tab w:val="center" w:pos="4252"/>
        <w:tab w:val="right" w:pos="8504"/>
      </w:tabs>
    </w:pPr>
  </w:style>
  <w:style w:type="paragraph" w:customStyle="1" w:styleId="citao2">
    <w:name w:val="citação 2"/>
    <w:basedOn w:val="Citao"/>
    <w:qFormat/>
    <w:pPr>
      <w:pBdr>
        <w:top w:val="single" w:sz="4" w:space="1" w:color="1F497D"/>
        <w:left w:val="single" w:sz="4" w:space="4" w:color="1F497D"/>
        <w:bottom w:val="single" w:sz="4" w:space="1" w:color="1F497D"/>
        <w:right w:val="single" w:sz="4" w:space="4" w:color="1F497D"/>
      </w:pBdr>
      <w:shd w:val="clear" w:color="auto" w:fill="FFFFCC"/>
      <w:spacing w:before="120"/>
      <w:jc w:val="both"/>
    </w:pPr>
    <w:rPr>
      <w:rFonts w:eastAsia="Calibri"/>
      <w:lang w:eastAsia="en-US"/>
    </w:rPr>
  </w:style>
  <w:style w:type="paragraph" w:styleId="Citao">
    <w:name w:val="Quote"/>
    <w:basedOn w:val="Normal"/>
    <w:next w:val="Normal"/>
    <w:qFormat/>
    <w:rPr>
      <w:i/>
      <w:iCs/>
      <w:color w:val="000000"/>
    </w:rPr>
  </w:style>
  <w:style w:type="paragraph" w:customStyle="1" w:styleId="Nivel1">
    <w:name w:val="Nivel1"/>
    <w:basedOn w:val="Ttulo1"/>
    <w:next w:val="Normal"/>
    <w:qFormat/>
    <w:pPr>
      <w:widowControl w:val="0"/>
      <w:spacing w:after="120" w:line="276" w:lineRule="auto"/>
      <w:ind w:left="360" w:hanging="360"/>
      <w:jc w:val="both"/>
      <w:outlineLvl w:val="9"/>
    </w:pPr>
    <w:rPr>
      <w:rFonts w:ascii="Arial" w:hAnsi="Arial" w:cs="Arial"/>
      <w:color w:val="auto"/>
      <w:sz w:val="20"/>
      <w:szCs w:val="20"/>
    </w:rPr>
  </w:style>
  <w:style w:type="paragraph" w:customStyle="1" w:styleId="Nivel01">
    <w:name w:val="Nivel 01"/>
    <w:basedOn w:val="Ttulo1"/>
    <w:next w:val="Normal"/>
    <w:qFormat/>
    <w:pPr>
      <w:tabs>
        <w:tab w:val="left" w:pos="567"/>
      </w:tabs>
      <w:spacing w:before="120" w:after="120" w:line="276" w:lineRule="auto"/>
      <w:jc w:val="both"/>
      <w:outlineLvl w:val="9"/>
    </w:pPr>
    <w:rPr>
      <w:rFonts w:ascii="Arial" w:hAnsi="Arial" w:cs="Arial"/>
      <w:color w:val="auto"/>
      <w:sz w:val="20"/>
      <w:szCs w:val="20"/>
      <w:lang w:eastAsia="en-US"/>
    </w:rPr>
  </w:style>
  <w:style w:type="paragraph" w:styleId="Textodecomentrio">
    <w:name w:val="annotation text"/>
    <w:basedOn w:val="Normal"/>
    <w:qFormat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qFormat/>
    <w:rsid w:val="00607E92"/>
    <w:rPr>
      <w:rFonts w:asciiTheme="minorHAnsi" w:hAnsiTheme="minorHAnsi"/>
      <w:b/>
      <w:bCs/>
      <w:sz w:val="24"/>
    </w:rPr>
  </w:style>
  <w:style w:type="paragraph" w:styleId="Textodebalo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styleId="Reviso">
    <w:name w:val="Revision"/>
    <w:qFormat/>
    <w:rPr>
      <w:rFonts w:ascii="Ecofont_Spranq_eco_Sans" w:hAnsi="Ecofont_Spranq_eco_Sans" w:cs="Tahoma"/>
      <w:szCs w:val="24"/>
    </w:rPr>
  </w:style>
  <w:style w:type="paragraph" w:customStyle="1" w:styleId="Nivel2">
    <w:name w:val="Nivel 2"/>
    <w:basedOn w:val="Normal"/>
    <w:qFormat/>
    <w:pPr>
      <w:spacing w:before="120" w:after="120" w:line="276" w:lineRule="auto"/>
      <w:jc w:val="both"/>
    </w:pPr>
    <w:rPr>
      <w:rFonts w:ascii="Arial" w:hAnsi="Arial" w:cs="Arial"/>
      <w:sz w:val="20"/>
      <w:szCs w:val="20"/>
    </w:rPr>
  </w:style>
  <w:style w:type="paragraph" w:customStyle="1" w:styleId="Nvel2-Red">
    <w:name w:val="Nível 2 -Red"/>
    <w:basedOn w:val="Nivel2"/>
    <w:qFormat/>
    <w:rPr>
      <w:i/>
      <w:iCs/>
      <w:color w:val="FF0000"/>
    </w:rPr>
  </w:style>
  <w:style w:type="paragraph" w:customStyle="1" w:styleId="ou">
    <w:name w:val="ou"/>
    <w:basedOn w:val="PargrafodaLista"/>
    <w:qFormat/>
    <w:pPr>
      <w:spacing w:before="60" w:after="60" w:line="259" w:lineRule="auto"/>
      <w:ind w:left="0"/>
      <w:contextualSpacing w:val="0"/>
      <w:jc w:val="center"/>
    </w:pPr>
    <w:rPr>
      <w:rFonts w:ascii="Arial" w:eastAsia="Calibri" w:hAnsi="Arial" w:cs="Arial"/>
      <w:b/>
      <w:bCs/>
      <w:i/>
      <w:iCs/>
      <w:color w:val="FF0000"/>
      <w:sz w:val="20"/>
      <w:u w:val="single"/>
    </w:rPr>
  </w:style>
  <w:style w:type="paragraph" w:customStyle="1" w:styleId="Nvel3-R">
    <w:name w:val="Nível 3-R"/>
    <w:basedOn w:val="Normal"/>
    <w:qFormat/>
    <w:pPr>
      <w:spacing w:before="120" w:after="120" w:line="276" w:lineRule="auto"/>
      <w:ind w:left="284"/>
      <w:jc w:val="both"/>
    </w:pPr>
    <w:rPr>
      <w:rFonts w:ascii="Arial" w:hAnsi="Arial" w:cs="Arial"/>
      <w:i/>
      <w:iCs/>
      <w:color w:val="FF0000"/>
      <w:sz w:val="20"/>
      <w:szCs w:val="20"/>
    </w:rPr>
  </w:style>
  <w:style w:type="paragraph" w:customStyle="1" w:styleId="Nvel3">
    <w:name w:val="Nível 3"/>
    <w:basedOn w:val="Nvel3-R"/>
    <w:qFormat/>
    <w:rPr>
      <w:i w:val="0"/>
      <w:iCs w:val="0"/>
      <w:color w:val="auto"/>
    </w:rPr>
  </w:style>
  <w:style w:type="paragraph" w:customStyle="1" w:styleId="Nvel4">
    <w:name w:val="Nível 4"/>
    <w:basedOn w:val="Nvel3"/>
    <w:qFormat/>
    <w:pPr>
      <w:ind w:left="567"/>
    </w:pPr>
  </w:style>
  <w:style w:type="paragraph" w:customStyle="1" w:styleId="SubTitNN">
    <w:name w:val="SubTitNN"/>
    <w:basedOn w:val="Normal"/>
    <w:qFormat/>
    <w:pPr>
      <w:spacing w:before="240" w:after="120" w:line="276" w:lineRule="auto"/>
      <w:jc w:val="both"/>
    </w:pPr>
    <w:rPr>
      <w:rFonts w:ascii="Arial" w:hAnsi="Arial" w:cs="Arial"/>
      <w:b/>
      <w:bCs/>
      <w:iCs/>
      <w:sz w:val="20"/>
      <w:szCs w:val="20"/>
    </w:rPr>
  </w:style>
  <w:style w:type="paragraph" w:customStyle="1" w:styleId="corpo">
    <w:name w:val="corpo"/>
    <w:basedOn w:val="Normal"/>
    <w:qFormat/>
    <w:pPr>
      <w:widowControl w:val="0"/>
      <w:ind w:firstLine="567"/>
      <w:jc w:val="both"/>
    </w:pPr>
    <w:rPr>
      <w:sz w:val="22"/>
    </w:rPr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western">
    <w:name w:val="western"/>
    <w:basedOn w:val="Normal"/>
    <w:qFormat/>
    <w:rsid w:val="00050B46"/>
    <w:pPr>
      <w:suppressAutoHyphens w:val="0"/>
      <w:spacing w:beforeAutospacing="1" w:afterAutospacing="1"/>
    </w:pPr>
    <w:rPr>
      <w:rFonts w:ascii="Times New Roman" w:hAnsi="Times New Roman" w:cs="Times New Roman"/>
    </w:rPr>
  </w:style>
  <w:style w:type="table" w:styleId="Tabelacomgrade">
    <w:name w:val="Table Grid"/>
    <w:basedOn w:val="Tabelanormal"/>
    <w:uiPriority w:val="39"/>
    <w:rsid w:val="00E303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388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0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76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33B6-C39B-4E97-BF66-039D42CB7E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9</Pages>
  <Words>2612</Words>
  <Characters>14106</Characters>
  <Application>Microsoft Office Word</Application>
  <DocSecurity>0</DocSecurity>
  <Lines>117</Lines>
  <Paragraphs>33</Paragraphs>
  <ScaleCrop>false</ScaleCrop>
  <Company/>
  <LinksUpToDate>false</LinksUpToDate>
  <CharactersWithSpaces>16685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K</dc:creator>
  <dc:description/>
  <cp:lastModifiedBy>guilhermekscampos@gmail.com</cp:lastModifiedBy>
  <cp:revision>53</cp:revision>
  <dcterms:created xsi:type="dcterms:W3CDTF">2023-09-10T00:11:00Z</dcterms:created>
  <dcterms:modified xsi:type="dcterms:W3CDTF">2024-08-16T16:27:00Z</dcterms:modified>
  <dc:language>pt-BR</dc:language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0x01010012A2765E7DFD38469B2E626874CD0041</vt:lpwstr>
  </property>
</Properties>
</file>