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785810/2024-703/00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A União, por intermédio do CENTRO DE INTENDÊNCIA DA MARINHA EM BRASÍLIA (CeIMBra), com sede na Esplanada dos Ministérios, Bloco “N”, Prédio Anexo, 2º andar, CEP: 70055-900, na cidade de Brasília – DF, inscrito(a) sob o CNPJ nº 00.394.502/0594-67, neste ato representado pelo Capitão de Fragata (IM) Thiago Martins Amorim, Ordenador de Despesa, nomeado(a) pela Portaria nº 241 de 25 de abril de 2024, do Com7°DN, c/c Ordem de Serviço nº 57/2024 de 25 de abril de 2024 do CeIMBra, considerando o julgamento da licitação na modalidade de pregão, na forma eletrônica, para REGISTRO DE PREÇOS nº {{num_pregao}}/2024, processo administrativo nº {{nup}}, RESOLVE registrar os preços da(s) empresa(s) indicada(s) e qualificada(s) nesta ATA, de acordo com a classificação por ela(s) alcançada(s) e na(s) quantidade(s) cotada(s), atendendo as condições previstas no Edital de licitação, sujeitando-se as partes às normas constantes na Lei nº 14.133, de 1º de abril de 2021, no Decreto n.º 11.462, de 31 de março de 2023, e em conformidade com as disposições a seguir:</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w:t>
      </w:r>
      <w:proofErr w:type="gramEnd"/>
      <w:r>
        <w:rPr>
          <w:rFonts w:asciiTheme="minorHAnsi" w:hAnsiTheme="minorHAnsi" w:cstheme="minorHAnsi"/>
          <w:color w:val="000000"/>
          <w:sz w:val="24"/>
          <w:szCs w:val="24"/>
        </w:rPr>
        <w:t xml:space="preserve">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br/>
            </w:r>
            <w:r>
              <w:rPr>
                <w:b/>
                <w:sz w:val="20"/>
              </w:rPr>
              <w:t>Descrição Detalhada:</w:t>
            </w:r>
            <w:r>
              <w:rPr>
                <w:sz w:val="20"/>
              </w:rPr>
              <w:t xml:space="preserve"> Forno cocção porcelana tensão: 110 ou 220 v (não é bivolt).* Consumo máximo: 1300 w.* Fusível: 20 a.* Tomada da bomba: 10 a. * temperatura máxima: 1200ºc.* Comprimento: 420 mm.* Largura: 298 mm.* Altura: 465 mm.* Peso líquido: 14,1 kg.* Peso bruto: 16,2 kg.* Frequência: 50-60 hz.* Cor: preto.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br/>
            </w:r>
            <w:r>
              <w:rPr>
                <w:b/>
                <w:sz w:val="20"/>
              </w:rPr>
              <w:t>Descrição Detalhada:</w:t>
            </w:r>
            <w:r>
              <w:rPr>
                <w:sz w:val="20"/>
              </w:rPr>
              <w:t xml:space="preserve"> Indicador químico, classe: classe i, tipo uso: externo, apresentação: fita adesiva, características adicionais: para esterilização a vapor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br/>
            </w:r>
            <w:r>
              <w:rPr>
                <w:b/>
                <w:sz w:val="20"/>
              </w:rPr>
              <w:t>Descrição Detalhada:</w:t>
            </w:r>
            <w:r>
              <w:rPr>
                <w:sz w:val="20"/>
              </w:rPr>
              <w:t xml:space="preserve"> Jogo de pinças demarcadoras de crane kaplan confeccionado em aço inox, autoclavável, em embalagem plástica individual.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br/>
            </w:r>
            <w:r>
              <w:rPr>
                <w:b/>
                <w:sz w:val="20"/>
              </w:rPr>
              <w:t>Descrição Detalhada:</w:t>
            </w:r>
            <w:r>
              <w:rPr>
                <w:sz w:val="20"/>
              </w:rPr>
              <w:t xml:space="preserve"> Liquido monomero termopolimerizável / microondas /250ml/ tipo vipe wave, com 2 anos de validade.</w:t>
            </w:r>
            <w:r>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br/>
            </w:r>
            <w:r>
              <w:rPr>
                <w:b/>
                <w:sz w:val="20"/>
              </w:rPr>
              <w:t>Descrição Detalhada:</w:t>
            </w:r>
            <w:r>
              <w:rPr>
                <w:sz w:val="20"/>
              </w:rPr>
              <w:t xml:space="preserve">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br/>
            </w:r>
            <w:r>
              <w:rPr>
                <w:b/>
                <w:sz w:val="20"/>
              </w:rPr>
              <w:t>Descrição Detalhada:</w:t>
            </w:r>
            <w:r>
              <w:rPr>
                <w:sz w:val="20"/>
              </w:rPr>
              <w:t xml:space="preserve"> Micro motor de bancada * utiliza micromotores e rolamentos blindados de alta tecnologia que dispensam a necessidade de lubrificação; * seleção automática 100v/ 230; * rotações: 0 a 35.000 rpm; * para brocas de 2,35 mm de diâmetro; * torque: 7nw.</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br/>
            </w:r>
            <w:r>
              <w:rPr>
                <w:b/>
                <w:sz w:val="20"/>
              </w:rPr>
              <w:t>Descrição Detalhada:</w:t>
            </w:r>
            <w:r>
              <w:rPr>
                <w:sz w:val="20"/>
              </w:rPr>
              <w:t xml:space="preserve"> Motor torno para polimento, alta velocidade: 3.500 rpm. * baixa velocidade: 1.725 rpm * frequência: 50/60 hz. * ponta de reposição: 3/8 reta. * potência do motor: ½ cv. * tensão: 110v ou 220v (não é bivolt).</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br/>
            </w:r>
            <w:r>
              <w:rPr>
                <w:b/>
                <w:sz w:val="20"/>
              </w:rPr>
              <w:t>Descrição Detalhada:</w:t>
            </w:r>
            <w:r>
              <w:rPr>
                <w:sz w:val="20"/>
              </w:rPr>
              <w:t xml:space="preserve">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br/>
            </w:r>
            <w:r>
              <w:rPr>
                <w:b/>
                <w:sz w:val="20"/>
              </w:rPr>
              <w:t>Descrição Detalhada:</w:t>
            </w:r>
            <w:r>
              <w:rPr>
                <w:sz w:val="20"/>
              </w:rPr>
              <w:t xml:space="preserve"> Pasta diamantada para polimento de resina composta kit- acabamento / polimento / brilho.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br/>
            </w:r>
            <w:r>
              <w:rPr>
                <w:b/>
                <w:sz w:val="20"/>
              </w:rPr>
              <w:t>Descrição Detalhada:</w:t>
            </w:r>
            <w:r>
              <w:rPr>
                <w:sz w:val="20"/>
              </w:rPr>
              <w:t xml:space="preserve"> Pinça cirúrgica 1, material:aço inoxidável, modelo:kelly, tipo ponta: curva, comprimento:18 cm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br/>
            </w:r>
            <w:r>
              <w:rPr>
                <w:b/>
                <w:sz w:val="20"/>
              </w:rPr>
              <w:t>Descrição Detalhada:</w:t>
            </w:r>
            <w:r>
              <w:rPr>
                <w:sz w:val="20"/>
              </w:rPr>
              <w:t xml:space="preserve"> Pinça cirúrgica 1, material:aço inoxidável, tipo ponta:ponta curva, comprimento:16 cm, modelo 1:rankin-kelly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br/>
            </w:r>
            <w:r>
              <w:rPr>
                <w:b/>
                <w:sz w:val="20"/>
              </w:rPr>
              <w:t>Descrição Detalhada:</w:t>
            </w:r>
            <w:r>
              <w:rPr>
                <w:sz w:val="20"/>
              </w:rPr>
              <w:t xml:space="preserve"> Pinça cirúrgica 1, material:aço inoxidável, modelo:dissecação, tipo ponta:serrilhada, comprimento:16 cm,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br/>
            </w:r>
            <w:r>
              <w:rPr>
                <w:b/>
                <w:sz w:val="20"/>
              </w:rPr>
              <w:t>Descrição Detalhada:</w:t>
            </w:r>
            <w:r>
              <w:rPr>
                <w:sz w:val="20"/>
              </w:rPr>
              <w:t xml:space="preserve"> Pinça cirúrgica 1, material:aço inoxidável, modelo:rochester pean, tipo ponta:curva, comprimento:20 cm, tipo cabo:com trava,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br/>
            </w:r>
            <w:r>
              <w:rPr>
                <w:b/>
                <w:sz w:val="20"/>
              </w:rPr>
              <w:t>Descrição Detalhada:</w:t>
            </w:r>
            <w:r>
              <w:rPr>
                <w:sz w:val="20"/>
              </w:rPr>
              <w:t xml:space="preserve"> Pinça diethrich 16 ou 18cm.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br/>
            </w:r>
            <w:r>
              <w:rPr>
                <w:b/>
                <w:sz w:val="20"/>
              </w:rPr>
              <w:t>Descrição Detalhada:</w:t>
            </w:r>
            <w:r>
              <w:rPr>
                <w:sz w:val="20"/>
              </w:rPr>
              <w:t xml:space="preserve"> design moderno e ergonômico. Cerdas finas e selecionadas. Evita a formação de pontas duplas. Proporcionam excelente limpeza e acabamento final sem danificar a resina. Modelo 4a. Padrão de referência:similar ou superior kota."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br/>
            </w:r>
            <w:r>
              <w:rPr>
                <w:b/>
                <w:sz w:val="20"/>
              </w:rPr>
              <w:t>Descrição Detalhada:</w:t>
            </w:r>
            <w:r>
              <w:rPr>
                <w:sz w:val="20"/>
              </w:rPr>
              <w:t xml:space="preserve">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br/>
            </w:r>
            <w:r>
              <w:rPr>
                <w:b/>
                <w:sz w:val="20"/>
              </w:rPr>
              <w:t>Descrição Detalhada:</w:t>
            </w:r>
            <w:r>
              <w:rPr>
                <w:sz w:val="20"/>
              </w:rPr>
              <w:t xml:space="preserve"> Ponteira de fibra óptica para fotopolimerizador compatível com o aparelho emmiter g, da schuster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br/>
            </w:r>
            <w:r>
              <w:rPr>
                <w:b/>
                <w:sz w:val="20"/>
              </w:rPr>
              <w:t>Descrição Detalhada:</w:t>
            </w:r>
            <w:r>
              <w:rPr>
                <w:sz w:val="20"/>
              </w:rPr>
              <w:t xml:space="preserve"> Régua - uso odontológico, modelo endodôntica, material aço inoxidável, tipo milimetrada, característica adicional simples, tipo uso autoclavável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br/>
            </w:r>
            <w:r>
              <w:rPr>
                <w:b/>
                <w:sz w:val="20"/>
              </w:rPr>
              <w:t>Descrição Detalhada:</w:t>
            </w:r>
            <w:r>
              <w:rPr>
                <w:sz w:val="20"/>
              </w:rPr>
              <w:t xml:space="preserve">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br/>
            </w:r>
            <w:r>
              <w:rPr>
                <w:b/>
                <w:sz w:val="20"/>
              </w:rPr>
              <w:t>Descrição Detalhada:</w:t>
            </w:r>
            <w:r>
              <w:rPr>
                <w:sz w:val="20"/>
              </w:rPr>
              <w:t xml:space="preserve">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br/>
            </w:r>
            <w:r>
              <w:rPr>
                <w:b/>
                <w:sz w:val="20"/>
              </w:rPr>
              <w:t>Descrição Detalhada:</w:t>
            </w:r>
            <w:r>
              <w:rPr>
                <w:sz w:val="20"/>
              </w:rPr>
              <w:t xml:space="preserve"> Silicona para laboratório pote 900 gr</w:t>
            </w:r>
            <w:r>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br/>
            </w:r>
            <w:r>
              <w:rPr>
                <w:b/>
                <w:sz w:val="20"/>
              </w:rPr>
              <w:t>Descrição Detalhada:</w:t>
            </w:r>
            <w:r>
              <w:rPr>
                <w:sz w:val="20"/>
              </w:rPr>
              <w:t xml:space="preserve"> Sindesmótomo.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br/>
            </w:r>
            <w:r>
              <w:rPr>
                <w:b/>
                <w:sz w:val="20"/>
              </w:rPr>
              <w:t>Descrição Detalhada:</w:t>
            </w:r>
            <w:r>
              <w:rPr>
                <w:sz w:val="20"/>
              </w:rPr>
              <w:t xml:space="preserve"> Solvente de guta percha, citrol, composto de terpeno de laranja, óleo essencial, volátil, atóxico ao profissional e ao paciente, inócuo aos tecidos adjacentes e ao dente. Frasco com 20 ml.</w:t>
            </w:r>
            <w:r>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br/>
            </w:r>
            <w:r>
              <w:rPr>
                <w:b/>
                <w:sz w:val="20"/>
              </w:rPr>
              <w:t>Descrição Detalhada:</w:t>
            </w:r>
            <w:r>
              <w:rPr>
                <w:sz w:val="20"/>
              </w:rPr>
              <w:t xml:space="preserve">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br/>
            </w:r>
            <w:r>
              <w:rPr>
                <w:b/>
                <w:sz w:val="20"/>
              </w:rPr>
              <w:t>Descrição Detalhada:</w:t>
            </w:r>
            <w:r>
              <w:rPr>
                <w:sz w:val="20"/>
              </w:rPr>
              <w:t xml:space="preserve"> Tesoura, material:aço inoxidável, comprimento:20 cm, tipo:lister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03A04417" w14:textId="77777777" w:rsidR="00483E3A" w:rsidRDefault="00483E3A" w:rsidP="00483E3A">
      <w:pPr>
        <w:spacing w:line="276" w:lineRule="auto"/>
        <w:rPr>
          <w:rFonts w:asciiTheme="minorHAnsi" w:hAnsiTheme="minorHAnsi" w:cstheme="minorHAnsi"/>
          <w:lang w:eastAsia="en-US"/>
        </w:rPr>
      </w:pP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Brasília (CeIMBra)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 xml:space="preserve">dade interessada por intermédio de instrumento contratual, emissão de nota de empenho de </w:t>
      </w:r>
      <w:r>
        <w:rPr>
          <w:rFonts w:asciiTheme="minorHAnsi" w:hAnsiTheme="minorHAnsi" w:cstheme="minorHAnsi"/>
          <w:sz w:val="24"/>
          <w:szCs w:val="24"/>
        </w:rPr>
        <w:lastRenderedPageBreak/>
        <w:t>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Após a homologação da licitação ou da contratação direta, o licitante mais bem classificado ou o fornecedor, no caso da contratação direta, será convocado para assinar a ata de registro de preços, </w:t>
      </w:r>
      <w:r>
        <w:rPr>
          <w:rFonts w:asciiTheme="minorHAnsi" w:hAnsiTheme="minorHAnsi" w:cstheme="minorHAnsi"/>
          <w:sz w:val="24"/>
          <w:szCs w:val="24"/>
        </w:rPr>
        <w:lastRenderedPageBreak/>
        <w:t>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w:t>
      </w:r>
      <w:proofErr w:type="gramStart"/>
      <w:r>
        <w:rPr>
          <w:rFonts w:asciiTheme="minorHAnsi" w:hAnsiTheme="minorHAnsi" w:cstheme="minorHAnsi"/>
          <w:sz w:val="24"/>
          <w:szCs w:val="24"/>
        </w:rPr>
        <w:t>e  27</w:t>
      </w:r>
      <w:proofErr w:type="gramEnd"/>
      <w:r>
        <w:rPr>
          <w:rFonts w:asciiTheme="minorHAnsi" w:hAnsiTheme="minorHAnsi" w:cstheme="minorHAnsi"/>
          <w:sz w:val="24"/>
          <w:szCs w:val="24"/>
        </w:rPr>
        <w:t xml:space="preserve">,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B61C" w14:textId="77777777" w:rsidR="0018497C" w:rsidRDefault="0018497C">
      <w:r>
        <w:separator/>
      </w:r>
    </w:p>
  </w:endnote>
  <w:endnote w:type="continuationSeparator" w:id="0">
    <w:p w14:paraId="0912CC63" w14:textId="77777777" w:rsidR="0018497C" w:rsidRDefault="0018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 xml:space="preserve">Ata de Registro de Preços </w:t>
    </w:r>
    <w:proofErr w:type="gramStart"/>
    <w:r>
      <w:rPr>
        <w:rFonts w:ascii="Arial" w:hAnsi="Arial" w:cs="Arial"/>
        <w:sz w:val="12"/>
        <w:szCs w:val="12"/>
      </w:rPr>
      <w:t>–  Lei</w:t>
    </w:r>
    <w:proofErr w:type="gramEnd"/>
    <w:r>
      <w:rPr>
        <w:rFonts w:ascii="Arial" w:hAnsi="Arial" w:cs="Arial"/>
        <w:sz w:val="12"/>
        <w:szCs w:val="12"/>
      </w:rPr>
      <w:t xml:space="preserve">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73204" w14:textId="77777777" w:rsidR="0018497C" w:rsidRDefault="0018497C">
      <w:r>
        <w:separator/>
      </w:r>
    </w:p>
  </w:footnote>
  <w:footnote w:type="continuationSeparator" w:id="0">
    <w:p w14:paraId="4DEFAB3F" w14:textId="77777777" w:rsidR="0018497C" w:rsidRDefault="0018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8497C"/>
    <w:rsid w:val="00196418"/>
    <w:rsid w:val="00251C60"/>
    <w:rsid w:val="00277E84"/>
    <w:rsid w:val="003F16DF"/>
    <w:rsid w:val="0041477D"/>
    <w:rsid w:val="00483E3A"/>
    <w:rsid w:val="005A0B28"/>
    <w:rsid w:val="00754758"/>
    <w:rsid w:val="00862D01"/>
    <w:rsid w:val="0097672B"/>
    <w:rsid w:val="009B2AA0"/>
    <w:rsid w:val="009C0790"/>
    <w:rsid w:val="00AB0AF9"/>
    <w:rsid w:val="00CE13E2"/>
    <w:rsid w:val="00D2155E"/>
    <w:rsid w:val="00DB59D9"/>
    <w:rsid w:val="00DE4348"/>
    <w:rsid w:val="00DE56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2611</Words>
  <Characters>14105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54</cp:revision>
  <dcterms:created xsi:type="dcterms:W3CDTF">2023-09-10T00:11:00Z</dcterms:created>
  <dcterms:modified xsi:type="dcterms:W3CDTF">2024-08-20T03:14:00Z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