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Ar-Condicionado 36.000 Btu (Instalação Inclusa) (Cota Reservada ME-EPP)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Ar-Condicionado 48.000 Btu (Instalação Inclusa) (Cota Reservada ME-EPP)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Chapa Bifeteira Com Pé (Cota Reservada ME-EPP)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Liquidificador Industrial 15 L | Catálogo: 431283</w:t>
        <w:br/>
      </w:r>
      <w:r>
        <w:rPr>
          <w:rFonts w:ascii="Calibri" w:hAnsi="Calibri"/>
          <w:b w:val="0"/>
          <w:sz w:val="24"/>
        </w:rPr>
        <w:t>Descrição: Material: Copo em Aço Inox | Cavalete em Aço Pintado Capacidade: 15 litros Potência: 1,5CV Rotação: 3500 Rpm Voltagem: 220V Frequência: 60Hz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