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787000/2024-109/00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DANTAS DISTRIBUICAO E SERVICOS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30.199.011/0001-03;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Paulo Afonso, 1074 - Quadra05 Lote 06 Casa 04 - Bro Sao;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Goiânia / Goiás;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74.455-200;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(62) 99407146;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licitacao.vicdistribuicao@gmail.com.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LEANDRO ALVES DANTAS.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1 - Ar-Condicionado 12.000 Btu (Instalação Inclusa) | Catálogo: 458218</w:t>
        <w:br/>
      </w:r>
      <w:r>
        <w:rPr>
          <w:rFonts w:ascii="Calibri" w:hAnsi="Calibri"/>
          <w:b w:val="0"/>
          <w:sz w:val="24"/>
        </w:rPr>
        <w:t>Descrição: Aparelho Ar Condicionado Capacidade Refrigeração: 12.000 BTU Modelo: Fancolete Hidrônico Características Adicionais 1: Controle Remoto S/Fio, Inverter, Tipo: Split Hi Wall / Tensão: 220,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Britânia   |   Modelo/Versão:  Britânia</w:t>
        <w:br/>
      </w:r>
      <w:r>
        <w:rPr>
          <w:rFonts w:ascii="Calibri" w:hAnsi="Calibri"/>
          <w:b w:val="0"/>
          <w:sz w:val="24"/>
        </w:rPr>
        <w:t>Quantidade: 24   |   Valor Unitário: R$ 2.250,00   |   Valor Total do Item: R$ 54.000,00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2 - Ar-Condicionado 18.000 Btu (Instalação Inclusa) | Catálogo: 458191</w:t>
        <w:br/>
      </w:r>
      <w:r>
        <w:rPr>
          <w:rFonts w:ascii="Calibri" w:hAnsi="Calibri"/>
          <w:b w:val="0"/>
          <w:sz w:val="24"/>
        </w:rPr>
        <w:t>Descrição: Aparelho Ar Condicionado Capacidade Refrigeração: 18.000 BTU Características Adicionais 1: Controle Remoto S/Fio, Inverter Tipo: Split Hi Wall / Tensão: 220  (instalação inclusa)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Britânia   |   Modelo/Versão:  Britânia</w:t>
        <w:br/>
      </w:r>
      <w:r>
        <w:rPr>
          <w:rFonts w:ascii="Calibri" w:hAnsi="Calibri"/>
          <w:b w:val="0"/>
          <w:sz w:val="24"/>
        </w:rPr>
        <w:t>Quantidade: 7   |   Valor Unitário: R$ 2.250,00   |   Valor Total do Item: R$ 15.750,00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36 - Lavadora Alta Pressão 1900 W | Catálogo: 449988</w:t>
        <w:br/>
      </w:r>
      <w:r>
        <w:rPr>
          <w:rFonts w:ascii="Calibri" w:hAnsi="Calibri"/>
          <w:b w:val="0"/>
          <w:sz w:val="24"/>
        </w:rPr>
        <w:t>Descrição: Tensão / Voltagem 220V / Potência elétrica1900 W / Pressão máxima2450 PSI /  Vazão 360 L/h / Tipo de plugue: 3 pinos / Corrente elétrica / Amperagem: 10 A (220V) / Motor Indução / Tipo do bico: 1 Bico regulável (concentrado, leque e shampoo) e 1 Bico Turbo / Tamanho da mangueira: 5 m / Tipo da mangueira: Trama de aço / Comprimento cabo elétrico: 5 m / Tipo de sujeira: Moderada Incrustada / Garantia 01 ano / Peso bruto17 Kg / Peso líquido15,8 Kg / Tem Certificado Inmetro: Sim / Dimensões da caixa (C x L x A) 49 x 34,5 x 52 cm /  Dimensões do produto (C x L x A)29 x 30 x 76 cm (Referência: FW006756 (220V) ou de qualidade equivalente ou superior)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SIRMAN   |   Modelo/Versão:  SIRMAN</w:t>
        <w:br/>
      </w:r>
      <w:r>
        <w:rPr>
          <w:rFonts w:ascii="Calibri" w:hAnsi="Calibri"/>
          <w:b w:val="0"/>
          <w:sz w:val="24"/>
        </w:rPr>
        <w:t>Quantidade: 14   |   Valor Unitário: R$ 4.310,00   |   Valor Total do Item: R$ 60.340,00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57 - Liquidificador Industrial 8 L | Catálogo: 483292</w:t>
        <w:br/>
      </w:r>
      <w:r>
        <w:rPr>
          <w:rFonts w:ascii="Calibri" w:hAnsi="Calibri"/>
          <w:b w:val="0"/>
          <w:sz w:val="24"/>
        </w:rPr>
        <w:t>Descrição: Refrigerador de alimentos, 2 Portas Dimensões Externas (LxPxA): 71 x 80 x 205cm Material: Aço Inox 430 (interno e externo) / Capacidade: 24 cubas de 1/1GN x 100mm (não inclusas) / Refrigeração: Ar Forçado / Temperatura: +2ºC a +10ºC Voltagem: 220V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MONDIAL   |   Modelo/Versão:  MONDIAL</w:t>
        <w:br/>
      </w:r>
      <w:r>
        <w:rPr>
          <w:rFonts w:ascii="Calibri" w:hAnsi="Calibri"/>
          <w:b w:val="0"/>
          <w:sz w:val="24"/>
        </w:rPr>
        <w:t>Quantidade: 22   |   Valor Unitário: R$ 110,00   |   Valor Total do Item: R$ 2.420,00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R$ 132.510,00 (Cento e trinta e dois mil, quinhentos e dez reais)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LEANDRO ALVES DANTAS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