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787000/2024-107/00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RCL TECNOLOGIA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35.460.768/0001-22;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Pais Leme, 136 - Sala 801 - Pinheiros;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05.424-010;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83874097;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rclodeiro@gmail.com.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RENATO COMIN LODEIRO.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Ar-Condicionado 60.000 Btu (Instalação Inclusa) (Cota Reservada ME-EPP)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   |   Modelo/Versão:  TR</w:t>
        <w:br/>
      </w:r>
      <w:r>
        <w:rPr>
          <w:rFonts w:ascii="Calibri" w:hAnsi="Calibri"/>
          <w:b w:val="0"/>
          <w:sz w:val="24"/>
        </w:rPr>
        <w:t>Quantidade: 5   |   Valor Unitário: R$ 10.800,00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R$ 54.000,00 (Cinquenta e quatro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RENATO COMIN LODEIRO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