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787000/2024-096/00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VINCITA COMERCIO DE IMPLEMENTOS AGRICOLAS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49.461.961/0001-92;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30 - Cafeteira Industrial | Catálogo: 423374</w:t>
        <w:br/>
      </w:r>
      <w:r>
        <w:rPr>
          <w:rFonts w:ascii="Calibri" w:hAnsi="Calibri"/>
          <w:b w:val="0"/>
          <w:sz w:val="24"/>
        </w:rPr>
        <w:t>Descrição: Bojos Em Aço Inoxidável 304 – Material Apropriado Para Contato Com Alimentos E Bebidas; Capacidade de Café: 2 reservatórios de 20 Litros Reservatórios: Aço inox 304 / Voltagem: 220V / Potência: 6500W / Potência: 6,5Kw/h / Garantia: 6 meses  Resistências Blindadas De Alta Performance Torneiras com identificação de "café" e "água" Termostato para controle de temperatura de 20ºc a 120ºc Visor de nível para o reservatório de água e os reservatórios de café Acompanha coador de pano Ideal para manter o café aquecido em banho maria pronto para servir Indicadas para refeitórios de indústrias ou locais com alto fluxo de pessoas / equipamento 220v monofásico.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MIDEA/MIDEA   |   Modelo/Versão:  MD-RT580MTA01</w:t>
        <w:br/>
      </w:r>
      <w:r>
        <w:rPr>
          <w:rFonts w:ascii="Calibri" w:hAnsi="Calibri"/>
          <w:b w:val="0"/>
          <w:sz w:val="24"/>
        </w:rPr>
        <w:t>Quantidade: 20   |   Valor Unitário: R$ 2.880,99   |   Valor Total do Item: R$ 57.619,80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R$ 57.619,80 (Cinquenta e sete mil, seiscentos e dezenove reais e oitenta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