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YRLEY BARBOSA DA SILVA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45.149.571/0001-20;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1A Rua Quadra 1, 1C - Casa - Mansoes Imperatriz;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Águas Lindas De Goiás / Goiás;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72.910-449;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(61) 84009467;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adsumus1comercial@gmail.com.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YRLEI BARBOSA DA SILVA.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52 - Refresqueira Industrial 150 L | Catálogo: 451529</w:t>
        <w:br/>
      </w:r>
      <w:r>
        <w:rPr>
          <w:rFonts w:ascii="Calibri" w:hAnsi="Calibri"/>
          <w:b w:val="0"/>
          <w:sz w:val="24"/>
        </w:rPr>
        <w:t>Descrição: Refresqueira Industrial Material Estrutura: Aço Inoxidável Escovado Material Depósito: Aço Inoxidável Tipo: 1 Despósito Capacidade: 150 L Tensão: 220 V Aplicação: Serve Bebidas Frias Características Adicionais: Torneira Tipo Alavanca, Pingadeira, Dreno, Rodízio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BEGEL   |   Modelo/Versão:  RFI - 150</w:t>
        <w:br/>
      </w:r>
      <w:r>
        <w:rPr>
          <w:rFonts w:ascii="Calibri" w:hAnsi="Calibri"/>
          <w:b w:val="0"/>
          <w:sz w:val="24"/>
        </w:rPr>
        <w:t>Quantidade: 12   |   Valor Unitário: R$ 5.100,00   |   Valor Total do Item: R$ 61.200,00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53 - Refresqueira Industrial 150 L (Cota Reservada ME-EPP) | Catálogo: 451529</w:t>
        <w:br/>
      </w:r>
      <w:r>
        <w:rPr>
          <w:rFonts w:ascii="Calibri" w:hAnsi="Calibri"/>
          <w:b w:val="0"/>
          <w:sz w:val="24"/>
        </w:rPr>
        <w:t>Descrição: Refresqueira Industrial Material Estrutura: Aço Inoxidável Escovado Material Depósito: Aço Inoxidável Tipo: 1 Despósito Capacidade: 150 L Tensão: 220 V Aplicação: Serve Bebidas Frias Características Adicionais: Torneira Tipo Alavanca, Pingadeira, Dreno, Rodízio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BEGEL   |   Modelo/Versão:  RFI - 150</w:t>
        <w:br/>
      </w:r>
      <w:r>
        <w:rPr>
          <w:rFonts w:ascii="Calibri" w:hAnsi="Calibri"/>
          <w:b w:val="0"/>
          <w:sz w:val="24"/>
        </w:rPr>
        <w:t>Quantidade: 3   |   Valor Unitário: R$ 5.100,00   |   Valor Total do Item: R$ 15.300,00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R$ 76.500,00 (Setenta e seis mil e quinhentos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YRLEI BARBOSA DA SILVA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