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720090" cy="720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MARINHA DO BRASIL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ATA DE REGISTRO DE PREÇOS</w:t>
      </w:r>
    </w:p>
    <w:p>
      <w:pPr>
        <w:pStyle w:val="Normal"/>
        <w:widowControl w:val="false"/>
        <w:spacing w:lineRule="auto" w:line="276"/>
        <w:ind w:right="-30"/>
        <w:jc w:val="center"/>
        <w:rPr>
          <w:rFonts w:ascii="Calibri" w:hAnsi="Calibri" w:cs="Calibri" w:asciiTheme="minorHAnsi" w:cstheme="minorHAnsi" w:hAnsiTheme="minorHAnsi"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Cs/>
          <w:color w:val="000000"/>
        </w:rPr>
        <w:t>{{cabecalho}}</w:t>
      </w:r>
    </w:p>
    <w:p>
      <w:pPr>
        <w:pStyle w:val="Normal"/>
        <w:widowControl w:val="false"/>
        <w:spacing w:lineRule="auto" w:line="276"/>
        <w:ind w:right="-3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tabs>
          <w:tab w:val="clear" w:pos="708"/>
          <w:tab w:val="center" w:pos="4779" w:leader="none"/>
          <w:tab w:val="right" w:pos="9198" w:leader="none"/>
        </w:tabs>
        <w:spacing w:lineRule="auto" w:line="276" w:before="120" w:after="120"/>
        <w:ind w:right="-28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{{dados_ug_contratante}}</w:t>
      </w:r>
    </w:p>
    <w:p>
      <w:pPr>
        <w:pStyle w:val="Normal"/>
        <w:widowControl w:val="false"/>
        <w:tabs>
          <w:tab w:val="clear" w:pos="708"/>
          <w:tab w:val="center" w:pos="4779" w:leader="none"/>
          <w:tab w:val="right" w:pos="9198" w:leader="none"/>
        </w:tabs>
        <w:spacing w:lineRule="auto" w:line="276" w:before="120" w:after="120"/>
        <w:ind w:right="-2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tabs>
          <w:tab w:val="clear" w:pos="708"/>
          <w:tab w:val="center" w:pos="4779" w:leader="none"/>
          <w:tab w:val="right" w:pos="9198" w:leader="none"/>
        </w:tabs>
        <w:spacing w:lineRule="auto" w:line="276" w:before="120" w:after="120"/>
        <w:ind w:right="-28"/>
        <w:jc w:val="both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EMPRESA REGISTRADA: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lang w:eastAsia="en-US"/>
        </w:rPr>
      </w:pPr>
      <w:r>
        <w:rPr>
          <w:rFonts w:cs="Calibri" w:ascii="Calibri" w:hAnsi="Calibri" w:asciiTheme="minorHAnsi" w:cstheme="minorHAnsi" w:hAnsiTheme="minorHAnsi"/>
          <w:lang w:eastAsia="en-US"/>
        </w:rPr>
        <w:t>{relacao_empresa}</w:t>
      </w:r>
    </w:p>
    <w:p>
      <w:pPr>
        <w:pStyle w:val="Normal"/>
        <w:rPr>
          <w:rFonts w:ascii="Calibri" w:hAnsi="Calibri" w:cs="Calibri" w:asciiTheme="minorHAnsi" w:cstheme="minorHAnsi" w:hAnsiTheme="minorHAnsi"/>
          <w:lang w:eastAsia="en-US"/>
        </w:rPr>
      </w:pPr>
      <w:r>
        <w:rPr>
          <w:rFonts w:cs="Calibri" w:cstheme="minorHAnsi" w:ascii="Calibri" w:hAnsi="Calibri"/>
          <w:lang w:eastAsia="en-US"/>
        </w:rPr>
      </w:r>
      <w:r>
        <w:br w:type="page"/>
      </w:r>
    </w:p>
    <w:p>
      <w:pPr>
        <w:pStyle w:val="Nivel01"/>
        <w:numPr>
          <w:ilvl w:val="0"/>
          <w:numId w:val="1"/>
        </w:numPr>
        <w:spacing w:before="0" w:after="120"/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DO OBJETO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presente Ata tem por objeto o registro de preços para a 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eventual {{objeto}}, especificado no item 1 do Termo de Referência, anexo do edital do pregão eletrônico nº {{num_pregao}}/{{ano_pregao}}, que é pa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rte integrante desta Ata, assim como as propostas cujos preços tenham sido registrados, independentemente de transcrição.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DOS PREÇOS, ESPECIFICAÇÕES E QUANTITATIVOS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lang w:eastAsia="en-US"/>
        </w:rPr>
      </w:pPr>
      <w:r>
        <w:rPr>
          <w:rFonts w:cs="Calibri" w:ascii="Calibri" w:hAnsi="Calibri" w:asciiTheme="minorHAnsi" w:cstheme="minorHAnsi" w:hAnsiTheme="minorHAnsi"/>
          <w:lang w:eastAsia="en-US"/>
        </w:rPr>
        <w:t>{relacao_item}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  <w:lang w:eastAsia="en-US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ÓRGÃO(S) GERENCIADOR E PARTICIPANTE(S)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órgão gerenciador será o {{organizacao}}</w:t>
      </w:r>
      <w:r>
        <w:rPr>
          <w:rFonts w:cs="Calibri" w:ascii="Calibri" w:hAnsi="Calibri"/>
          <w:color w:val="000000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e a relação de órgãos participantes consta em anexo ao Termo de Referência.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DA ADESÃO À ATA DE REGISTRO DE PREÇOS</w:t>
      </w:r>
    </w:p>
    <w:p>
      <w:pPr>
        <w:pStyle w:val="Nvel2-Red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i w:val="false"/>
          <w:i w:val="false"/>
          <w:iCs w:val="false"/>
          <w:color w:val="000000"/>
          <w:sz w:val="24"/>
          <w:szCs w:val="24"/>
          <w:lang w:eastAsia="en-US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>
      <w:pPr>
        <w:pStyle w:val="SubTitNN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Cs w:val="false"/>
          <w:color w:val="000000"/>
          <w:sz w:val="24"/>
          <w:szCs w:val="24"/>
        </w:rPr>
        <w:t>Vedação a acr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éscimo de quantitativos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É vedado efetuar acréscimos nos quantitativos fixados na ata de registro de preços.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VALIDADE, FORMALIZAÇÃO DA ATA DE REGISTRO DE PREÇOS E CADASTRO RESERVA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validade da Ata de Registro 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contratação com os fornecedores registrados na ata será formalizada pelo órgão ou pela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 instrumento contratual de que trata o item 5.2. deverá ser assinado no prazo de validade da ata de registro de preços.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Serão registrados na ata os preços e os quantita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sto no edital</w:t>
      </w:r>
      <w:r>
        <w:rPr>
          <w:rFonts w:cs="Calibri" w:ascii="Calibri" w:hAnsi="Calibri" w:asciiTheme="minorHAnsi" w:cstheme="minorHAnsi" w:hAnsiTheme="minorHAnsi"/>
          <w:color w:val="FF000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 se obrigar nos limites dela;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Será incluído na ata, na forma de anexo, o registro dos licitantes ou dos fornecedores que:</w:t>
      </w:r>
    </w:p>
    <w:p>
      <w:pPr>
        <w:pStyle w:val="Nvel4"/>
        <w:numPr>
          <w:ilvl w:val="3"/>
          <w:numId w:val="1"/>
        </w:numPr>
        <w:ind w:hanging="0" w:left="567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>
      <w:pPr>
        <w:pStyle w:val="Nvel4"/>
        <w:numPr>
          <w:ilvl w:val="3"/>
          <w:numId w:val="1"/>
        </w:numPr>
        <w:ind w:hanging="0" w:left="567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Será respeitada, nas contratações, a ordem de classificação dos licitantes ou dos fornecedores registrados na ata.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registro a que se refere o item 5.4.2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tem por obje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vo a formação de cadastro de reserva para o caso de impossibilidade de atendimento pelo signatário da ata.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cadastro_reserva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5.4.2.2.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Quando o l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Quando houver o cancel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cancelamento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9.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ata de registro de preços será assinada por meio de assinatura digital e disponibilizada no Sistema de Registro de Preços.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habilitacao_reserva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Erro: Origem da referência não encontrada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nenhum dos licitantes que trata o item 5.4.2.1, aceitar a contratação nos termo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s do item anterior, a Administração, observados o valor es</w:t>
      </w:r>
      <w:r>
        <w:rPr>
          <w:rFonts w:eastAsia="Arial" w:cs="Calibri" w:ascii="Calibri" w:hAnsi="Calibri" w:asciiTheme="minorHAnsi" w:cstheme="minorHAnsi" w:hAnsiTheme="minorHAnsi"/>
          <w:color w:val="000000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mado e sua eventual atualização nos termos do edital, po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derá: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ALTERAÇÃO OU ATUALIZAÇÃO DOS PREÇOS REGISTRADOS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cados no mercado ou de fato que eleve o custo dos bens, das obras ou dos serviços registrados, nas seguintes situações: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Em caso de criação, alteração ou ex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>
      <w:pPr>
        <w:pStyle w:val="Nvel4"/>
        <w:numPr>
          <w:ilvl w:val="3"/>
          <w:numId w:val="1"/>
        </w:numPr>
        <w:ind w:hanging="0" w:left="567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>
      <w:pPr>
        <w:pStyle w:val="Nvel4"/>
        <w:numPr>
          <w:ilvl w:val="3"/>
          <w:numId w:val="1"/>
        </w:numPr>
        <w:ind w:hanging="0" w:left="567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No caso da repactuação, poderá ser a pedido do interessado, conforme critérios definidos para a contratação.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NEGOCIAÇÃO DE PREÇOS REGISTRADOS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o preço registrado tornar-se superior ao preço pra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cado no mercado por mo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vo superveniente, o órgão ou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 convocará o fornecedor para negociar a redução do preço registrado.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Caso não aceite reduzir seu preço aos valores pra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Se não obtiver êxito nas negociações, o órgão ou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tid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redução do preço registrado, o gerenciador comunicará aos órgãos e às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dades que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cancelamento_do_fornecedor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9.1.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sem prejuízo das sanções previstas na Lei nº 14.133, de 2021, e na legislação aplicável.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cancelamento_da_ata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9.4.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e adotará as medidas cabíveis para a obtenção da contratação mais vantajosa.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hipotese_preco_mercado_maior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7.2.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e no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prova_preco_mercado_maior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7.2.1.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o órgão ou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 atualizará o preço registrado, de acordo com a realidade dos valores praticados pelo mercado.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 órgão ou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 comunicará aos órgãos e às en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dades que 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verem firmado contratos decorrentes da ata de registro de preços sobre a efe</w:t>
      </w:r>
      <w:r>
        <w:rPr>
          <w:rFonts w:eastAsia="Calibri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REMANEJAMENTO DAS QUANTIDADES REGISTRADAS NA ATA DE REGISTRO DE PREÇOS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As quan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 entre os órgãos ou as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dades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cipantes e não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cipantes do registro de preços.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 remanejamento somente poderá ser feito: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De órgão ou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 para órgão ou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cipante; ou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De órgão ou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 para órgão ou entidade não participante.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órgão ou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 que tiver es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mado as quan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remanejamento de órgão ou entidade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Competirá ao órgão ou à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 autorizar o remanejamento solicitado, com a redução do quan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ta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vo inicialmente informado pelo órgão ou pela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cipante, desde que haja prévia anuência do órgão ou da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que sofrer redução dos quantitativos informados.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Caso o remanejamento seja feito entre órgãos ou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dades dos Estados, do Distrito Federal ou de Municípios dis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da compra centralizada, não havendo indicação pelo órgão ou pela en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dade gerenciadora, dos quan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ta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vos dos par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cipantes da compra centralizada, nos termos do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gerenciador_estimador_é_partic_em_remane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8.3.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a distribuição das quantidades para a execução descentralizada será por meio do remanejamento.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Descumprir as condições da ata de registro de preços, sem motivo justificado;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Não re</w:t>
      </w:r>
      <w:r>
        <w:rPr>
          <w:rFonts w:eastAsia="Arial" w:cs="Calibri" w:ascii="Calibri" w:hAnsi="Calibri" w:asciiTheme="minorHAnsi" w:cstheme="minorHAnsi" w:hAnsiTheme="minorHAnsi"/>
          <w:sz w:val="24"/>
          <w:szCs w:val="24"/>
        </w:rPr>
        <w:t>ti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rar a nota de empenho, ou instrumento equivalente, no prazo estabelecido pela Administração sem justificativa razoável;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Não aceitar manter seu preço registrado, na hipótese prevista no artigo 27, § 2º, do Decreto nº 11.462, de 2023; ou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Sofrer sanção prevista nos incisos III ou IV do caput do art. 156 da Lei nº 14.133, de 2021.</w:t>
      </w:r>
    </w:p>
    <w:p>
      <w:pPr>
        <w:pStyle w:val="Nvel4"/>
        <w:numPr>
          <w:ilvl w:val="3"/>
          <w:numId w:val="1"/>
        </w:numPr>
        <w:ind w:hanging="0" w:left="567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O cancelamento de registros nas hipóteses previstas no item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 xml:space="preserve"> REF cancelamento_do_fornecedor \r \h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9.1.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Por razão de interesse público;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pedido do fornecedor, decorrente de caso fortuito ou força maior; ou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DAS PENALIDADES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de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>
      <w:pPr>
        <w:pStyle w:val="Nvel3"/>
        <w:numPr>
          <w:ilvl w:val="2"/>
          <w:numId w:val="1"/>
        </w:numPr>
        <w:ind w:hanging="0" w:left="28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As sanções t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>
      <w:pPr>
        <w:pStyle w:val="Nivel01"/>
        <w:numPr>
          <w:ilvl w:val="0"/>
          <w:numId w:val="1"/>
        </w:numPr>
        <w:ind w:hanging="0" w:left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CONDIÇÕES GERAIS</w:t>
      </w:r>
    </w:p>
    <w:p>
      <w:pPr>
        <w:pStyle w:val="Nivel2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 xml:space="preserve"> ANEXO AO EDITAL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Nvel2-Red"/>
        <w:numPr>
          <w:ilvl w:val="1"/>
          <w:numId w:val="1"/>
        </w:numPr>
        <w:ind w:hanging="0" w:left="0"/>
        <w:rPr>
          <w:rFonts w:ascii="Calibri" w:hAnsi="Calibri" w:cs="Calibri" w:asciiTheme="minorHAnsi" w:cstheme="minorHAnsi" w:hAnsiTheme="minorHAnsi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widowControl w:val="false"/>
        <w:spacing w:lineRule="auto" w:line="276" w:before="0" w:after="1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Para firmeza e validade do pactuado, a presente Ata depois de lida e achada em ordem, vai assinada eletronicamente pelas partes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 e encaminhada cópia aos demais órgãos participantes (se houver). 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{{cidade}}, na data da assinatura.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FF0000"/>
        </w:rPr>
      </w:pPr>
      <w:r>
        <w:rPr>
          <w:rFonts w:cs="Calibri" w:cstheme="minorHAnsi" w:ascii="Calibri" w:hAnsi="Calibri"/>
          <w:color w:val="FF0000"/>
        </w:rPr>
      </w:r>
    </w:p>
    <w:tbl>
      <w:tblPr>
        <w:tblW w:w="9075" w:type="dxa"/>
        <w:jc w:val="left"/>
        <w:tblInd w:w="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542"/>
        <w:gridCol w:w="4532"/>
      </w:tblGrid>
      <w:tr>
        <w:trPr/>
        <w:tc>
          <w:tcPr>
            <w:tcW w:w="4542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>Pelo Contratante</w:t>
            </w: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: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</w:tc>
        <w:tc>
          <w:tcPr>
            <w:tcW w:w="4532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</w:rPr>
              <w:t>Pela Contratada:</w:t>
            </w:r>
          </w:p>
        </w:tc>
      </w:tr>
      <w:tr>
        <w:trPr/>
        <w:tc>
          <w:tcPr>
            <w:tcW w:w="4542" w:type="dxa"/>
            <w:tcBorders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{{ordenador_despesa}}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Capitão de Fragata (IM)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Ordenador de Despesa</w:t>
            </w:r>
          </w:p>
          <w:p>
            <w:pPr>
              <w:pStyle w:val="Normal"/>
              <w:jc w:val="center"/>
              <w:rPr>
                <w:rFonts w:ascii="Calibri" w:hAnsi="Calibri" w:eastAsia="Arial" w:cs="Calibri" w:asciiTheme="minorHAnsi" w:cstheme="minorHAnsi" w:hAnsiTheme="minorHAnsi"/>
                <w:color w:val="000000"/>
                <w:bdr w:val="single" w:sz="2" w:space="1" w:color="00000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  <w:tcBorders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{{responsavel_legal}}</w:t>
            </w:r>
          </w:p>
          <w:p>
            <w:pPr>
              <w:pStyle w:val="Normal"/>
              <w:jc w:val="center"/>
              <w:rPr>
                <w:rFonts w:ascii="Calibri" w:hAnsi="Calibri" w:eastAsia="Arial" w:cs="Calibri" w:asciiTheme="minorHAnsi" w:cstheme="minorHAnsi" w:hAnsiTheme="minorHAnsi"/>
                <w:color w:val="000000"/>
                <w:bdr w:val="single" w:sz="2" w:space="1" w:color="00000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>
        <w:trPr/>
        <w:tc>
          <w:tcPr>
            <w:tcW w:w="4542" w:type="dxa"/>
            <w:tcBorders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</w:tc>
        <w:tc>
          <w:tcPr>
            <w:tcW w:w="4532" w:type="dxa"/>
            <w:tcBorders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</w:tc>
      </w:tr>
      <w:tr>
        <w:trPr/>
        <w:tc>
          <w:tcPr>
            <w:tcW w:w="4542" w:type="dxa"/>
            <w:tcBorders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Testemunha</w:t>
            </w:r>
          </w:p>
          <w:p>
            <w:pPr>
              <w:pStyle w:val="Normal"/>
              <w:jc w:val="center"/>
              <w:rPr>
                <w:rFonts w:ascii="Calibri" w:hAnsi="Calibri" w:eastAsia="Arial" w:cs="Calibri" w:asciiTheme="minorHAnsi" w:cstheme="minorHAnsi" w:hAnsiTheme="minorHAnsi"/>
                <w:color w:val="000000"/>
                <w:bdr w:val="single" w:sz="2" w:space="1" w:color="00000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  <w:tcBorders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</w:tc>
      </w:tr>
    </w:tbl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FF0000"/>
        </w:rPr>
      </w:pPr>
      <w:r>
        <w:rPr>
          <w:rFonts w:cs="Calibri" w:cstheme="minorHAnsi" w:ascii="Calibri" w:hAnsi="Calibri"/>
          <w:color w:val="FF0000"/>
        </w:rPr>
      </w:r>
    </w:p>
    <w:p>
      <w:pPr>
        <w:pStyle w:val="Normal"/>
        <w:widowControl w:val="false"/>
        <w:spacing w:lineRule="auto" w:line="276"/>
        <w:jc w:val="center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widowControl w:val="false"/>
        <w:spacing w:lineRule="auto" w:line="276"/>
        <w:ind w:right="-3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134" w:right="850" w:gutter="0" w:header="0" w:top="1134" w:footer="1134" w:bottom="18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Ecofont_Spranq_eco_Sans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____________________________________________________________________</w:t>
    </w:r>
  </w:p>
  <w:p>
    <w:pPr>
      <w:pStyle w:val="Footer"/>
      <w:rPr>
        <w:rFonts w:ascii="Arial" w:hAnsi="Arial" w:cs="Arial"/>
        <w:sz w:val="12"/>
        <w:szCs w:val="12"/>
      </w:rPr>
    </w:pPr>
    <w:r>
      <w:rPr>
        <w:rFonts w:cs="Arial" w:ascii="Arial" w:hAnsi="Arial"/>
        <w:sz w:val="12"/>
        <w:szCs w:val="12"/>
      </w:rPr>
      <w:t>Câmara Nacional de Modelos de Licitações e Contratos da Consultoria-Geral da União</w:t>
    </w:r>
  </w:p>
  <w:p>
    <w:pPr>
      <w:pStyle w:val="Footer"/>
      <w:rPr>
        <w:rFonts w:ascii="Arial" w:hAnsi="Arial" w:cs="Arial"/>
        <w:sz w:val="12"/>
        <w:szCs w:val="12"/>
      </w:rPr>
    </w:pPr>
    <w:r>
      <w:rPr>
        <w:rFonts w:cs="Arial" w:ascii="Arial" w:hAnsi="Arial"/>
        <w:sz w:val="12"/>
        <w:szCs w:val="12"/>
      </w:rPr>
      <w:t>Atualização: maio/2023</w:t>
    </w:r>
  </w:p>
  <w:p>
    <w:pPr>
      <w:pStyle w:val="Footer"/>
      <w:rPr>
        <w:rFonts w:ascii="Arial" w:hAnsi="Arial" w:cs="Arial"/>
        <w:sz w:val="12"/>
        <w:szCs w:val="12"/>
      </w:rPr>
    </w:pPr>
    <w:r>
      <w:rPr>
        <w:rFonts w:cs="Arial" w:ascii="Arial" w:hAnsi="Arial"/>
        <w:sz w:val="12"/>
        <w:szCs w:val="12"/>
      </w:rPr>
      <w:t>Ata de Registro de Preços –  Lei nº 14.133, de 2021.</w:t>
    </w:r>
  </w:p>
  <w:p>
    <w:pPr>
      <w:pStyle w:val="Footer"/>
      <w:rPr>
        <w:rFonts w:ascii="Arial" w:hAnsi="Arial" w:cs="Arial"/>
        <w:sz w:val="12"/>
        <w:szCs w:val="12"/>
      </w:rPr>
    </w:pPr>
    <w:r>
      <w:rPr>
        <w:rFonts w:cs="Arial" w:ascii="Arial" w:hAnsi="Arial"/>
        <w:sz w:val="12"/>
        <w:szCs w:val="12"/>
      </w:rPr>
      <w:t>Aprovado pela Secretaria de Gestão e Inovação.</w:t>
    </w:r>
  </w:p>
  <w:p>
    <w:pPr>
      <w:pStyle w:val="Footer"/>
      <w:rPr>
        <w:rFonts w:ascii="Arial" w:hAnsi="Arial" w:cs="Arial"/>
        <w:sz w:val="12"/>
        <w:szCs w:val="12"/>
      </w:rPr>
    </w:pPr>
    <w:r>
      <w:rPr>
        <w:rFonts w:cs="Arial" w:ascii="Arial" w:hAnsi="Arial"/>
        <w:sz w:val="12"/>
        <w:szCs w:val="12"/>
      </w:rPr>
      <w:t>Identidade visual pela Secretaria de Gestão e Inovação</w:t>
    </w:r>
  </w:p>
  <w:p>
    <w:pPr>
      <w:pStyle w:val="Footer"/>
      <w:rPr>
        <w:rFonts w:ascii="Arial" w:hAnsi="Arial" w:cs="Arial"/>
        <w:sz w:val="12"/>
        <w:szCs w:val="12"/>
      </w:rPr>
    </w:pPr>
    <w:r>
      <w:rPr>
        <w:rFonts w:cs="Arial" w:ascii="Arial" w:hAnsi="Arial"/>
        <w:sz w:val="12"/>
        <w:szCs w:val="1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b/>
        <w:rFonts w:ascii="Calibri" w:hAnsi="Calibri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sz w:val="24"/>
        <w:i w:val="false"/>
        <w:szCs w:val="24"/>
        <w:iCs w:val="false"/>
        <w:rFonts w:ascii="Calibri" w:hAnsi="Calibri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sz w:val="24"/>
        <w:szCs w:val="24"/>
        <w:rFonts w:ascii="Calibri" w:hAnsi="Calibri" w:cs="Calibri" w:asciiTheme="minorHAnsi" w:cstheme="minorHAnsi" w:hAnsiTheme="minorHAnsi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sz w:val="24"/>
        <w:szCs w:val="24"/>
        <w:rFonts w:ascii="Calibri" w:hAnsi="Calibri" w:cs="Calibri" w:asciiTheme="minorHAnsi" w:cstheme="minorHAnsi" w:hAnsiTheme="minorHAnsi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mirrorMargins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Ecofont_Spranq_eco_Sans" w:hAnsi="Ecofont_Spranq_eco_Sans" w:eastAsia="Times New Roman" w:cs="Tahoma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adeColorida-nfase1Char" w:customStyle="1">
    <w:name w:val="Grade Colorida - Ênfase 1 Char"/>
    <w:qFormat/>
    <w:rPr>
      <w:rFonts w:ascii="Ecofont_Spranq_eco_Sans" w:hAnsi="Ecofont_Spranq_eco_Sans" w:eastAsia="Calibri" w:cs="Tahoma"/>
      <w:i/>
      <w:iCs/>
      <w:color w:val="000000"/>
      <w:szCs w:val="24"/>
      <w:lang w:val="pt-BR" w:eastAsia="en-US" w:bidi="ar-SA"/>
    </w:rPr>
  </w:style>
  <w:style w:type="character" w:styleId="CorpodetextoChar" w:customStyle="1">
    <w:name w:val="Corpo de texto Char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b46"/>
    <w:rPr>
      <w:color w:val="0000FF"/>
      <w:u w:val="single"/>
    </w:rPr>
  </w:style>
  <w:style w:type="character" w:styleId="CabealhoChar" w:customStyle="1">
    <w:name w:val="Cabeçalho Char"/>
    <w:basedOn w:val="DefaultParagraphFont"/>
    <w:qFormat/>
    <w:rPr>
      <w:rFonts w:ascii="Ecofont_Spranq_eco_Sans" w:hAnsi="Ecofont_Spranq_eco_Sans" w:cs="Tahoma"/>
      <w:sz w:val="24"/>
      <w:szCs w:val="24"/>
    </w:rPr>
  </w:style>
  <w:style w:type="character" w:styleId="RodapChar" w:customStyle="1">
    <w:name w:val="Rodapé Char"/>
    <w:basedOn w:val="DefaultParagraphFont"/>
    <w:qFormat/>
    <w:rPr>
      <w:rFonts w:ascii="Ecofont_Spranq_eco_Sans" w:hAnsi="Ecofont_Spranq_eco_Sans" w:cs="Tahoma"/>
      <w:sz w:val="24"/>
      <w:szCs w:val="24"/>
    </w:rPr>
  </w:style>
  <w:style w:type="character" w:styleId="Citao2Char" w:customStyle="1">
    <w:name w:val="citação 2 Char"/>
    <w:basedOn w:val="CitaoChar"/>
    <w:qFormat/>
    <w:rPr>
      <w:rFonts w:ascii="Ecofont_Spranq_eco_Sans" w:hAnsi="Ecofont_Spranq_eco_Sans" w:eastAsia="Calibri" w:cs="Tahoma"/>
      <w:i/>
      <w:iCs/>
      <w:color w:val="000000"/>
      <w:sz w:val="24"/>
      <w:szCs w:val="24"/>
      <w:shd w:fill="FFFFCC" w:val="clear"/>
      <w:lang w:eastAsia="en-US"/>
    </w:rPr>
  </w:style>
  <w:style w:type="character" w:styleId="CitaoChar" w:customStyle="1">
    <w:name w:val="Citação Char"/>
    <w:basedOn w:val="DefaultParagraphFont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styleId="Ttulo1Char" w:customStyle="1">
    <w:name w:val="Título 1 Char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Nivel1Char" w:customStyle="1">
    <w:name w:val="Nivel1 Char"/>
    <w:basedOn w:val="Ttulo1Char"/>
    <w:qFormat/>
    <w:rPr>
      <w:rFonts w:ascii="Arial" w:hAnsi="Arial" w:eastAsia="Times New Roman" w:cs="Arial"/>
      <w:b/>
      <w:bCs/>
      <w:color w:val="365F91"/>
      <w:sz w:val="28"/>
      <w:szCs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comentrioChar" w:customStyle="1">
    <w:name w:val="Texto de comentário Char"/>
    <w:basedOn w:val="DefaultParagraphFont"/>
    <w:qFormat/>
    <w:rPr>
      <w:rFonts w:ascii="Ecofont_Spranq_eco_Sans" w:hAnsi="Ecofont_Spranq_eco_Sans" w:cs="Tahoma"/>
    </w:rPr>
  </w:style>
  <w:style w:type="character" w:styleId="AssuntodocomentrioChar" w:customStyle="1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styleId="TextodebaloChar" w:customStyle="1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Nivel01Char" w:customStyle="1">
    <w:name w:val="Nivel 01 Char"/>
    <w:basedOn w:val="DefaultParagraphFont"/>
    <w:qFormat/>
    <w:rPr>
      <w:rFonts w:ascii="Arial" w:hAnsi="Arial" w:eastAsia="Times New Roman" w:cs="Arial"/>
      <w:b/>
      <w:bCs/>
      <w:lang w:eastAsia="en-US"/>
    </w:rPr>
  </w:style>
  <w:style w:type="character" w:styleId="Nivel2Char" w:customStyle="1">
    <w:name w:val="Nivel 2 Char"/>
    <w:basedOn w:val="DefaultParagraphFont"/>
    <w:qFormat/>
    <w:rPr>
      <w:rFonts w:ascii="Arial" w:hAnsi="Arial" w:cs="Arial"/>
    </w:rPr>
  </w:style>
  <w:style w:type="character" w:styleId="Nvel2-RedChar" w:customStyle="1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styleId="OuChar" w:customStyle="1">
    <w:name w:val="ou Char"/>
    <w:basedOn w:val="DefaultParagraphFont"/>
    <w:qFormat/>
    <w:rPr>
      <w:rFonts w:ascii="Arial" w:hAnsi="Arial" w:eastAsia="Calibri" w:cs="Arial"/>
      <w:b/>
      <w:bCs/>
      <w:i/>
      <w:iCs/>
      <w:color w:val="FF0000"/>
      <w:szCs w:val="24"/>
      <w:u w:val="single"/>
    </w:rPr>
  </w:style>
  <w:style w:type="character" w:styleId="Nvel3-RChar" w:customStyle="1">
    <w:name w:val="Nível 3-R Char"/>
    <w:basedOn w:val="DefaultParagraphFont"/>
    <w:qFormat/>
    <w:rPr>
      <w:rFonts w:ascii="Arial" w:hAnsi="Arial" w:eastAsia="Times New Roman" w:cs="Arial"/>
      <w:i/>
      <w:iCs/>
      <w:color w:val="FF0000"/>
    </w:rPr>
  </w:style>
  <w:style w:type="character" w:styleId="Nvel3Char" w:customStyle="1">
    <w:name w:val="Nível 3 Char"/>
    <w:basedOn w:val="Nvel3-RChar"/>
    <w:qFormat/>
    <w:rPr>
      <w:rFonts w:ascii="Arial" w:hAnsi="Arial" w:eastAsia="Times New Roman" w:cs="Arial"/>
      <w:i w:val="false"/>
      <w:iCs w:val="false"/>
      <w:color w:val="FF0000"/>
    </w:rPr>
  </w:style>
  <w:style w:type="character" w:styleId="Nvel4Char" w:customStyle="1">
    <w:name w:val="Nível 4 Char"/>
    <w:basedOn w:val="Nvel3Char"/>
    <w:qFormat/>
    <w:rPr>
      <w:rFonts w:ascii="Arial" w:hAnsi="Arial" w:eastAsia="Times New Roman" w:cs="Arial"/>
      <w:i w:val="false"/>
      <w:iCs w:val="false"/>
      <w:color w:val="FF0000"/>
    </w:rPr>
  </w:style>
  <w:style w:type="character" w:styleId="SubTitNNChar" w:customStyle="1">
    <w:name w:val="SubTitNN Char"/>
    <w:basedOn w:val="DefaultParagraphFont"/>
    <w:qFormat/>
    <w:rPr>
      <w:rFonts w:ascii="Arial" w:hAnsi="Arial" w:cs="Arial"/>
      <w:b/>
      <w:bCs/>
      <w:iCs/>
    </w:rPr>
  </w:style>
  <w:style w:type="character" w:styleId="Strong" w:customStyle="1">
    <w:name w:val="Strong"/>
    <w:basedOn w:val="DefaultParagraphFont"/>
    <w:qFormat/>
    <w:rPr>
      <w:b/>
      <w:bCs/>
    </w:rPr>
  </w:style>
  <w:style w:type="character" w:styleId="Object" w:customStyle="1">
    <w:name w:val="object"/>
    <w:basedOn w:val="DefaultParagraphFont"/>
    <w:qFormat/>
    <w:rsid w:val="00050b46"/>
    <w:rPr/>
  </w:style>
  <w:style w:type="character" w:styleId="Object-hover" w:customStyle="1">
    <w:name w:val="object-hover"/>
    <w:basedOn w:val="DefaultParagraphFont"/>
    <w:qFormat/>
    <w:rsid w:val="00050b46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GradeColorida-nfase11" w:customStyle="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 w:after="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itao2" w:customStyle="1">
    <w:name w:val="citação 2"/>
    <w:basedOn w:val="Quote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 w:after="0"/>
      <w:jc w:val="both"/>
    </w:pPr>
    <w:rPr>
      <w:rFonts w:eastAsia="Calibri"/>
      <w:lang w:eastAsia="en-US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Nivel1" w:customStyle="1">
    <w:name w:val="Nivel1"/>
    <w:basedOn w:val="Heading1"/>
    <w:next w:val="Normal"/>
    <w:qFormat/>
    <w:pPr>
      <w:widowControl w:val="false"/>
      <w:spacing w:lineRule="auto" w:line="276" w:before="480" w:after="120"/>
      <w:ind w:hanging="360" w:left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styleId="Nivel01" w:customStyle="1">
    <w:name w:val="Nivel 01"/>
    <w:basedOn w:val="Heading1"/>
    <w:next w:val="Normal"/>
    <w:qFormat/>
    <w:pPr>
      <w:tabs>
        <w:tab w:val="clear" w:pos="708"/>
        <w:tab w:val="left" w:pos="567" w:leader="none"/>
      </w:tabs>
      <w:spacing w:lineRule="auto" w:line="276" w:before="120" w:after="120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rsid w:val="00607e92"/>
    <w:pPr/>
    <w:rPr>
      <w:rFonts w:ascii="Calibri" w:hAnsi="Calibri" w:asciiTheme="minorHAnsi" w:hAnsiTheme="minorHAnsi"/>
      <w:b/>
      <w:bCs/>
      <w:sz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Ecofont_Spranq_eco_Sans" w:hAnsi="Ecofont_Spranq_eco_Sans" w:eastAsia="Times New Roman" w:cs="Tahoma"/>
      <w:color w:val="auto"/>
      <w:kern w:val="0"/>
      <w:sz w:val="24"/>
      <w:szCs w:val="24"/>
      <w:lang w:val="pt-BR" w:eastAsia="pt-BR" w:bidi="ar-SA"/>
    </w:rPr>
  </w:style>
  <w:style w:type="paragraph" w:styleId="Nivel2" w:customStyle="1">
    <w:name w:val="Nivel 2"/>
    <w:basedOn w:val="Normal"/>
    <w:qFormat/>
    <w:pPr>
      <w:spacing w:lineRule="auto" w:line="276" w:before="120" w:after="120"/>
      <w:jc w:val="both"/>
    </w:pPr>
    <w:rPr>
      <w:rFonts w:ascii="Arial" w:hAnsi="Arial" w:cs="Arial"/>
      <w:sz w:val="20"/>
      <w:szCs w:val="20"/>
    </w:rPr>
  </w:style>
  <w:style w:type="paragraph" w:styleId="Nvel2-Red" w:customStyle="1">
    <w:name w:val="Nível 2 -Red"/>
    <w:basedOn w:val="Nivel2"/>
    <w:qFormat/>
    <w:pPr/>
    <w:rPr>
      <w:i/>
      <w:iCs/>
      <w:color w:val="FF0000"/>
    </w:rPr>
  </w:style>
  <w:style w:type="paragraph" w:styleId="Ou" w:customStyle="1">
    <w:name w:val="ou"/>
    <w:basedOn w:val="ListParagraph"/>
    <w:qFormat/>
    <w:pPr>
      <w:spacing w:lineRule="auto" w:line="259" w:before="60" w:after="60"/>
      <w:ind w:left="0"/>
      <w:contextualSpacing w:val="false"/>
      <w:jc w:val="center"/>
    </w:pPr>
    <w:rPr>
      <w:rFonts w:ascii="Arial" w:hAnsi="Arial" w:eastAsia="Calibri" w:cs="Arial"/>
      <w:b/>
      <w:bCs/>
      <w:i/>
      <w:iCs/>
      <w:color w:val="FF0000"/>
      <w:sz w:val="20"/>
      <w:u w:val="single"/>
    </w:rPr>
  </w:style>
  <w:style w:type="paragraph" w:styleId="Nvel3-R" w:customStyle="1">
    <w:name w:val="Nível 3-R"/>
    <w:basedOn w:val="Normal"/>
    <w:qFormat/>
    <w:pPr>
      <w:spacing w:lineRule="auto" w:line="276" w:before="120" w:after="120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styleId="Nvel3" w:customStyle="1">
    <w:name w:val="Nível 3"/>
    <w:basedOn w:val="Nvel3-R"/>
    <w:qFormat/>
    <w:pPr/>
    <w:rPr>
      <w:i w:val="false"/>
      <w:iCs w:val="false"/>
      <w:color w:val="auto"/>
    </w:rPr>
  </w:style>
  <w:style w:type="paragraph" w:styleId="Nvel4" w:customStyle="1">
    <w:name w:val="Nível 4"/>
    <w:basedOn w:val="Nvel3"/>
    <w:qFormat/>
    <w:pPr>
      <w:ind w:left="567"/>
    </w:pPr>
    <w:rPr/>
  </w:style>
  <w:style w:type="paragraph" w:styleId="SubTitNN" w:customStyle="1">
    <w:name w:val="SubTitNN"/>
    <w:basedOn w:val="Normal"/>
    <w:qFormat/>
    <w:pPr>
      <w:spacing w:lineRule="auto" w:line="276" w:before="240" w:after="120"/>
      <w:jc w:val="both"/>
    </w:pPr>
    <w:rPr>
      <w:rFonts w:ascii="Arial" w:hAnsi="Arial" w:cs="Arial"/>
      <w:b/>
      <w:bCs/>
      <w:iCs/>
      <w:sz w:val="20"/>
      <w:szCs w:val="20"/>
    </w:rPr>
  </w:style>
  <w:style w:type="paragraph" w:styleId="Corpo" w:customStyle="1">
    <w:name w:val="corpo"/>
    <w:basedOn w:val="Normal"/>
    <w:qFormat/>
    <w:pPr>
      <w:widowControl w:val="false"/>
      <w:ind w:firstLine="567"/>
      <w:jc w:val="both"/>
    </w:pPr>
    <w:rPr>
      <w:sz w:val="22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Western" w:customStyle="1">
    <w:name w:val="western"/>
    <w:basedOn w:val="Normal"/>
    <w:qFormat/>
    <w:rsid w:val="00050b46"/>
    <w:pPr>
      <w:suppressAutoHyphens w:val="false"/>
      <w:spacing w:beforeAutospacing="1" w:afterAutospacing="1"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303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LibreOffice/7.6.1.2$Windows_X86_64 LibreOffice_project/f5defcebd022c5bc36bbb79be232cb6926d8f674</Application>
  <AppVersion>15.0000</AppVersion>
  <Pages>9</Pages>
  <Words>2619</Words>
  <Characters>14596</Characters>
  <CharactersWithSpaces>17034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2023-09-10T00:11:00Z</dcterms:created>
  <dc:creator>Guilherme K</dc:creator>
  <dc:description/>
  <dc:language>pt-BR</dc:language>
  <cp:lastModifiedBy/>
  <dcterms:modified xsi:type="dcterms:W3CDTF">2024-06-21T12:35:41Z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