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proofErr w:type="spellStart"/>
      <w:r w:rsidRPr="00DB38FA">
        <w:rPr>
          <w:rFonts w:ascii="Arial" w:hAnsi="Arial" w:cs="Arial" w:hint="eastAsia"/>
          <w:b/>
          <w:bCs/>
          <w:iCs/>
          <w:sz w:val="20"/>
          <w:szCs w:val="20"/>
        </w:rPr>
        <w:t>orgao_responsavel</w:t>
      </w:r>
      <w:proofErr w:type="spellEnd"/>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07D2725D"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 {{numero</w:t>
      </w:r>
      <w:proofErr w:type="gramStart"/>
      <w:r w:rsidRPr="00DB38FA">
        <w:rPr>
          <w:rFonts w:ascii="Arial" w:hAnsi="Arial" w:cs="Arial"/>
          <w:b/>
          <w:bCs/>
          <w:iCs/>
          <w:sz w:val="20"/>
          <w:szCs w:val="20"/>
        </w:rPr>
        <w:t>}}/</w:t>
      </w:r>
      <w:proofErr w:type="gramEnd"/>
      <w:r w:rsidRPr="00DB38FA">
        <w:rPr>
          <w:rFonts w:ascii="Arial" w:hAnsi="Arial" w:cs="Arial"/>
          <w:b/>
          <w:bCs/>
          <w:iCs/>
          <w:sz w:val="20"/>
          <w:szCs w:val="20"/>
        </w:rPr>
        <w:t>{{ano}}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w:t>
      </w:r>
      <w:proofErr w:type="spellStart"/>
      <w:r w:rsidR="00DB38FA" w:rsidRPr="00DB38FA">
        <w:rPr>
          <w:rFonts w:ascii="Arial" w:hAnsi="Arial" w:cs="Arial"/>
          <w:b/>
          <w:bCs/>
          <w:color w:val="000000" w:themeColor="text1"/>
          <w:sz w:val="20"/>
          <w:szCs w:val="20"/>
        </w:rPr>
        <w:t>nup</w:t>
      </w:r>
      <w:proofErr w:type="spellEnd"/>
      <w:r w:rsidR="00DB38FA" w:rsidRPr="00DB38FA">
        <w:rPr>
          <w:rFonts w:ascii="Arial" w:hAnsi="Arial" w:cs="Arial"/>
          <w:b/>
          <w:bCs/>
          <w:color w:val="000000" w:themeColor="text1"/>
          <w:sz w:val="20"/>
          <w:szCs w:val="20"/>
        </w:rPr>
        <w:t>}}</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512EBE42" w14:textId="339CEB77" w:rsidR="004F04E1" w:rsidRPr="00DB38FA" w:rsidRDefault="00000000">
      <w:pPr>
        <w:pStyle w:val="Nivel2"/>
        <w:numPr>
          <w:ilvl w:val="1"/>
          <w:numId w:val="7"/>
        </w:numPr>
        <w:ind w:left="0" w:firstLine="0"/>
        <w:rPr>
          <w:b/>
          <w:bCs/>
          <w:color w:val="auto"/>
        </w:rPr>
      </w:pPr>
      <w:r w:rsidRPr="00DB38FA">
        <w:rPr>
          <w:color w:val="auto"/>
        </w:rPr>
        <w:t xml:space="preserve">Aquisição de </w:t>
      </w:r>
      <w:r w:rsidR="00DB38FA" w:rsidRPr="00DB38FA">
        <w:rPr>
          <w:color w:val="auto"/>
        </w:rPr>
        <w:t>{{objeto}}</w:t>
      </w:r>
      <w:r w:rsidRPr="00DB38FA">
        <w:rPr>
          <w:b/>
          <w:bCs/>
          <w:color w:val="auto"/>
        </w:rPr>
        <w:t>,</w:t>
      </w:r>
      <w:r w:rsidRPr="00DB38FA">
        <w:rPr>
          <w:color w:val="auto"/>
        </w:rPr>
        <w:t xml:space="preserve"> nos termos da tabela abaixo, conforme condições e exigências estabelecidas neste instrumento.</w:t>
      </w:r>
    </w:p>
    <w:p w14:paraId="0945CCF6" w14:textId="77777777"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w:t>
      </w:r>
      <w:proofErr w:type="spellStart"/>
      <w:r w:rsidR="00DB38FA" w:rsidRPr="00DB38FA">
        <w:rPr>
          <w:i w:val="0"/>
          <w:color w:val="auto"/>
        </w:rPr>
        <w:t>vigencia</w:t>
      </w:r>
      <w:proofErr w:type="spellEnd"/>
      <w:r w:rsidR="00DB38FA" w:rsidRPr="00DB38FA">
        <w:rPr>
          <w:i w:val="0"/>
          <w:color w:val="auto"/>
        </w:rPr>
        <w:t>}}</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lastRenderedPageBreak/>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77777777"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pelas razões constantes do Estudo Técnico Preliminar.</w:t>
      </w:r>
    </w:p>
    <w:p w14:paraId="1C3D1C3D" w14:textId="77777777" w:rsidR="004F04E1" w:rsidRDefault="00000000">
      <w:pPr>
        <w:pStyle w:val="Nivel01"/>
        <w:rPr>
          <w:rFonts w:ascii="Times New Roman" w:hAnsi="Times New Roman" w:cs="Times New Roman"/>
        </w:rPr>
      </w:pPr>
      <w:r>
        <w:t>Vistoria</w:t>
      </w:r>
    </w:p>
    <w:p w14:paraId="6F711504" w14:textId="77777777" w:rsidR="004F04E1" w:rsidRDefault="00000000">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7AE89D62" w14:textId="473405E4" w:rsidR="004F04E1" w:rsidRDefault="00000000">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48EAC491" w14:textId="77777777" w:rsidR="004F04E1" w:rsidRDefault="00000000">
      <w:pPr>
        <w:pStyle w:val="Nivel2"/>
        <w:numPr>
          <w:ilvl w:val="0"/>
          <w:numId w:val="0"/>
        </w:numPr>
      </w:pPr>
      <w:r>
        <w:t>Fiscalização</w:t>
      </w:r>
    </w:p>
    <w:p w14:paraId="7183D433" w14:textId="07ACF576" w:rsidR="004F04E1" w:rsidRDefault="00000000">
      <w:pPr>
        <w:pStyle w:val="Nivel2"/>
        <w:numPr>
          <w:ilvl w:val="1"/>
          <w:numId w:val="29"/>
        </w:numPr>
        <w:ind w:left="0" w:firstLine="0"/>
      </w:pPr>
      <w:r>
        <w:t>A execução d</w:t>
      </w:r>
      <w:r w:rsidR="00DB38FA">
        <w:t>a contratação</w:t>
      </w:r>
      <w:r>
        <w:t xml:space="preserve"> deverá ser acompanhada e fiscalizada pelo(s) fiscal(</w:t>
      </w:r>
      <w:proofErr w:type="spellStart"/>
      <w:r>
        <w:t>is</w:t>
      </w:r>
      <w:proofErr w:type="spellEnd"/>
      <w:r>
        <w:t>) do contrato, ou pelos respectivos substitutos (</w:t>
      </w:r>
      <w:hyperlink r:id="rId13" w:anchor="art117" w:history="1">
        <w:r>
          <w:rPr>
            <w:rStyle w:val="LinkdaInternet"/>
          </w:rPr>
          <w:t>Lei nº 14.133, de 2021, art. 117, caput</w:t>
        </w:r>
      </w:hyperlink>
      <w:r>
        <w:t>).</w:t>
      </w:r>
    </w:p>
    <w:p w14:paraId="3EB80C3E" w14:textId="77777777" w:rsidR="004F04E1" w:rsidRDefault="00000000">
      <w:pPr>
        <w:pStyle w:val="Nivel01"/>
        <w:numPr>
          <w:ilvl w:val="0"/>
          <w:numId w:val="4"/>
        </w:numPr>
        <w:ind w:left="0" w:firstLine="0"/>
      </w:pPr>
      <w:r>
        <w:t>CRITÉRIOS DE MEDIÇÃO E DE PAGAMENTO</w:t>
      </w:r>
    </w:p>
    <w:p w14:paraId="35BA7460" w14:textId="77777777" w:rsidR="004F04E1" w:rsidRDefault="00000000">
      <w:pPr>
        <w:pStyle w:val="Nvel1-SemNumPreto"/>
      </w:pPr>
      <w:r>
        <w:t>Recebimento</w:t>
      </w:r>
    </w:p>
    <w:p w14:paraId="4D0F5626" w14:textId="77777777" w:rsidR="004F04E1" w:rsidRDefault="00000000">
      <w:pPr>
        <w:pStyle w:val="Nivel2"/>
        <w:numPr>
          <w:ilvl w:val="1"/>
          <w:numId w:val="45"/>
        </w:numPr>
        <w:ind w:left="0" w:firstLine="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14:paraId="6068D063" w14:textId="28306D80" w:rsidR="004F04E1" w:rsidRDefault="00000000">
      <w:pPr>
        <w:pStyle w:val="Nivel2"/>
        <w:numPr>
          <w:ilvl w:val="1"/>
          <w:numId w:val="46"/>
        </w:numPr>
        <w:ind w:left="0" w:firstLine="0"/>
        <w:rPr>
          <w:lang w:eastAsia="en-US"/>
        </w:rPr>
      </w:pPr>
      <w:r>
        <w:rPr>
          <w:lang w:eastAsia="en-US"/>
        </w:rPr>
        <w:t xml:space="preserve">Os bens poderão ser rejeitados, no todo ou em parte, inclusive antes do recebimento provisório, quando em </w:t>
      </w:r>
      <w:r w:rsidRPr="00DB38FA">
        <w:rPr>
          <w:color w:val="auto"/>
          <w:lang w:eastAsia="en-US"/>
        </w:rPr>
        <w:t xml:space="preserve">desacordo com as especificações constantes no Termo de Referência e na proposta, devendo ser substituídos no prazo de </w:t>
      </w:r>
      <w:r w:rsidR="00DB38FA" w:rsidRPr="00DB38FA">
        <w:rPr>
          <w:color w:val="auto"/>
          <w:lang w:eastAsia="en-US"/>
        </w:rPr>
        <w:t>10</w:t>
      </w:r>
      <w:r w:rsidRPr="00DB38FA">
        <w:rPr>
          <w:color w:val="auto"/>
          <w:lang w:eastAsia="en-US"/>
        </w:rPr>
        <w:t xml:space="preserve"> (</w:t>
      </w:r>
      <w:r w:rsidR="00DB38FA" w:rsidRPr="00DB38FA">
        <w:rPr>
          <w:color w:val="auto"/>
          <w:lang w:eastAsia="en-US"/>
        </w:rPr>
        <w:t>dez</w:t>
      </w:r>
      <w:r w:rsidRPr="00DB38FA">
        <w:rPr>
          <w:color w:val="auto"/>
          <w:lang w:eastAsia="en-US"/>
        </w:rPr>
        <w:t>) dias</w:t>
      </w:r>
      <w:r>
        <w:rPr>
          <w:lang w:eastAsia="en-US"/>
        </w:rPr>
        <w:t>, a contar da notificação da contratada, às suas custas, sem prejuízo da aplicação das penalidades.</w:t>
      </w:r>
    </w:p>
    <w:p w14:paraId="300F44FA" w14:textId="77777777" w:rsidR="004F04E1" w:rsidRDefault="00000000">
      <w:pPr>
        <w:pStyle w:val="Nivel2"/>
        <w:numPr>
          <w:ilvl w:val="1"/>
          <w:numId w:val="47"/>
        </w:numPr>
        <w:ind w:left="0" w:firstLine="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14:paraId="54D5EA95" w14:textId="43286D12" w:rsidR="004F04E1" w:rsidRPr="00DB38FA" w:rsidRDefault="00000000">
      <w:pPr>
        <w:pStyle w:val="Nivel2"/>
        <w:numPr>
          <w:ilvl w:val="1"/>
          <w:numId w:val="48"/>
        </w:numPr>
        <w:ind w:left="0" w:firstLine="0"/>
        <w:rPr>
          <w:color w:val="auto"/>
          <w:lang w:eastAsia="en-US"/>
        </w:rPr>
      </w:pPr>
      <w:r>
        <w:rPr>
          <w:lang w:eastAsia="en-US"/>
        </w:rPr>
        <w:t xml:space="preserve">Para as contratações decorrentes de despesas cujos valores não ultrapassem o limite de que trata o </w:t>
      </w:r>
      <w:hyperlink r:id="rId14" w:anchor="art75" w:history="1">
        <w:r>
          <w:rPr>
            <w:rStyle w:val="LinkdaInternet"/>
            <w:lang w:eastAsia="en-US"/>
          </w:rPr>
          <w:t>inciso II do art. 75 da Lei nº 14.133, de 2021</w:t>
        </w:r>
      </w:hyperlink>
      <w:r>
        <w:rPr>
          <w:lang w:eastAsia="en-US"/>
        </w:rPr>
        <w:t xml:space="preserve">, o prazo máximo para o recebimento definitivo será de até </w:t>
      </w:r>
      <w:r w:rsidR="00DB38FA" w:rsidRPr="00DB38FA">
        <w:rPr>
          <w:color w:val="auto"/>
          <w:lang w:eastAsia="en-US"/>
        </w:rPr>
        <w:t>30</w:t>
      </w:r>
      <w:r w:rsidRPr="00DB38FA">
        <w:rPr>
          <w:color w:val="auto"/>
          <w:lang w:eastAsia="en-US"/>
        </w:rPr>
        <w:t xml:space="preserve"> (</w:t>
      </w:r>
      <w:r w:rsidR="00DB38FA" w:rsidRPr="00DB38FA">
        <w:rPr>
          <w:color w:val="auto"/>
          <w:lang w:eastAsia="en-US"/>
        </w:rPr>
        <w:t>trinta</w:t>
      </w:r>
      <w:r w:rsidRPr="00DB38FA">
        <w:rPr>
          <w:color w:val="auto"/>
          <w:lang w:eastAsia="en-US"/>
        </w:rPr>
        <w:t>) dias úteis.</w:t>
      </w:r>
    </w:p>
    <w:p w14:paraId="2D954613" w14:textId="77777777" w:rsidR="004F04E1" w:rsidRDefault="00000000">
      <w:pPr>
        <w:pStyle w:val="Nivel2"/>
        <w:numPr>
          <w:ilvl w:val="1"/>
          <w:numId w:val="49"/>
        </w:numPr>
        <w:ind w:left="0" w:firstLine="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14:paraId="52AE089D" w14:textId="77777777" w:rsidR="004F04E1" w:rsidRDefault="00000000">
      <w:pPr>
        <w:pStyle w:val="Nivel2"/>
        <w:numPr>
          <w:ilvl w:val="1"/>
          <w:numId w:val="50"/>
        </w:numPr>
        <w:ind w:left="0" w:firstLine="0"/>
        <w:rPr>
          <w:lang w:eastAsia="en-US"/>
        </w:rPr>
      </w:pPr>
      <w:r>
        <w:rPr>
          <w:lang w:eastAsia="en-US"/>
        </w:rPr>
        <w:t xml:space="preserve">No caso de controvérsia sobre a execução do objeto, quanto à dimensão, qualidade e quantidade, deverá ser observado o teor do </w:t>
      </w:r>
      <w:hyperlink r:id="rId15" w:anchor="art143" w:history="1">
        <w:r>
          <w:rPr>
            <w:rStyle w:val="LinkdaInternet"/>
            <w:lang w:eastAsia="en-US"/>
          </w:rPr>
          <w:t>art. 143 da Lei nº 14.133, de 2021</w:t>
        </w:r>
      </w:hyperlink>
      <w:r>
        <w:rPr>
          <w:lang w:eastAsia="en-US"/>
        </w:rPr>
        <w:t xml:space="preserve">, comunicando-se à empresa para emissão de Nota Fiscal no que </w:t>
      </w:r>
      <w:proofErr w:type="spellStart"/>
      <w:r>
        <w:rPr>
          <w:lang w:eastAsia="en-US"/>
        </w:rPr>
        <w:t>pertine</w:t>
      </w:r>
      <w:proofErr w:type="spellEnd"/>
      <w:r>
        <w:rPr>
          <w:lang w:eastAsia="en-US"/>
        </w:rPr>
        <w:t xml:space="preserve"> à parcela incontroversa da execução do objeto, para efeito de liquidação e pagamento.</w:t>
      </w:r>
    </w:p>
    <w:p w14:paraId="798D5456" w14:textId="77777777" w:rsidR="004F04E1" w:rsidRDefault="00000000">
      <w:pPr>
        <w:pStyle w:val="Nivel2"/>
        <w:numPr>
          <w:ilvl w:val="1"/>
          <w:numId w:val="51"/>
        </w:numPr>
        <w:ind w:left="0" w:firstLine="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3DE95743" w14:textId="77777777" w:rsidR="004F04E1" w:rsidRDefault="00000000">
      <w:pPr>
        <w:pStyle w:val="Nivel2"/>
        <w:numPr>
          <w:ilvl w:val="1"/>
          <w:numId w:val="52"/>
        </w:numPr>
        <w:ind w:left="0" w:firstLine="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6"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lastRenderedPageBreak/>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17"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18">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lastRenderedPageBreak/>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19">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0">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1"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2">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lastRenderedPageBreak/>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3">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4">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lastRenderedPageBreak/>
        <w:t>Microempreendedor Individual - MEI:</w:t>
      </w:r>
      <w:r>
        <w:t xml:space="preserve"> Certificado da Condição de Microempreendedor Individual - CCMEI, cuja aceitação ficará condicionada à verificação da autenticidade no sítio </w:t>
      </w:r>
      <w:hyperlink r:id="rId25">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6">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27" w:anchor="art107" w:history="1">
        <w:r>
          <w:rPr>
            <w:rStyle w:val="LinkdaInternet"/>
          </w:rPr>
          <w:t>art. 107 da Lei nº 5.764, de 16 de dezembro 1971</w:t>
        </w:r>
      </w:hyperlink>
      <w:r>
        <w:t>;</w:t>
      </w:r>
    </w:p>
    <w:p w14:paraId="208D25E6" w14:textId="77777777" w:rsidR="004F04E1" w:rsidRDefault="00000000">
      <w:pPr>
        <w:pStyle w:val="Nivel2"/>
        <w:numPr>
          <w:ilvl w:val="1"/>
          <w:numId w:val="101"/>
        </w:numPr>
        <w:ind w:left="0" w:firstLine="0"/>
      </w:pPr>
      <w:r>
        <w:rPr>
          <w:b/>
          <w:bCs/>
        </w:rPr>
        <w:t>Agricultor familiar:</w:t>
      </w:r>
      <w:r>
        <w:t xml:space="preserve"> Declaração de Aptidão ao Pronaf – DAP ou DAP-P válida, ou, ainda, outros documentos definidos pela Secretaria Especial de Agricultura Familiar e do Desenvolvimento Agrário, nos termos do</w:t>
      </w:r>
      <w:hyperlink r:id="rId28" w:anchor="art4§2" w:history="1">
        <w:r>
          <w:rPr>
            <w:rStyle w:val="LinkdaInternet"/>
          </w:rPr>
          <w:t xml:space="preserve"> art. 4º, §2º do Decreto nº 10.880, de 2 de dezembro de 2021</w:t>
        </w:r>
      </w:hyperlink>
      <w:r>
        <w:t>;</w:t>
      </w:r>
    </w:p>
    <w:p w14:paraId="61F3A9AA" w14:textId="77777777" w:rsidR="004F04E1" w:rsidRDefault="00000000">
      <w:pPr>
        <w:pStyle w:val="Nivel2"/>
        <w:numPr>
          <w:ilvl w:val="1"/>
          <w:numId w:val="102"/>
        </w:numPr>
        <w:ind w:left="0" w:firstLine="0"/>
      </w:pPr>
      <w:r>
        <w:rPr>
          <w:b/>
          <w:bCs/>
        </w:rPr>
        <w:t>Produtor Rural:</w:t>
      </w:r>
      <w:r>
        <w:t xml:space="preserve"> matrícula no Cadastro Específico do INSS – CEI, que comprove a qualificação como produtor rural pessoa física, nos termos da </w:t>
      </w:r>
      <w:hyperlink r:id="rId29">
        <w:r>
          <w:rPr>
            <w:rStyle w:val="LinkdaInternet"/>
          </w:rPr>
          <w:t>Instrução Normativa RFB n. 971, de 13 de novembro de 2009</w:t>
        </w:r>
      </w:hyperlink>
      <w:r>
        <w:t xml:space="preserve"> (</w:t>
      </w:r>
      <w:proofErr w:type="spellStart"/>
      <w:r>
        <w:t>arts</w:t>
      </w:r>
      <w:proofErr w:type="spellEnd"/>
      <w:r>
        <w:t>. 17 a 19 e 165); e</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lastRenderedPageBreak/>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0"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1"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 xml:space="preserve">Os documentos referidos acima deverão ser exigidos com base no limite definido pela Receita Federal do Brasil para transmissão da Escrituração Contábil Digital - ECD ao </w:t>
      </w:r>
      <w:proofErr w:type="spellStart"/>
      <w:r>
        <w:rPr>
          <w:color w:val="auto"/>
        </w:rPr>
        <w:t>Sped</w:t>
      </w:r>
      <w:proofErr w:type="spellEnd"/>
      <w:r>
        <w:rPr>
          <w:color w:val="auto"/>
        </w:rPr>
        <w:t>.</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hint="eastAsi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hint="eastAsia"/>
          <w:i w:val="0"/>
          <w:color w:val="auto"/>
          <w:sz w:val="24"/>
          <w:szCs w:val="24"/>
        </w:rPr>
      </w:pPr>
      <w:r>
        <w:rPr>
          <w:i w:val="0"/>
          <w:color w:val="auto"/>
        </w:rPr>
        <w:lastRenderedPageBreak/>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77777777" w:rsidR="004F04E1" w:rsidRDefault="00000000">
      <w:pPr>
        <w:pStyle w:val="Nvel2-Red"/>
        <w:numPr>
          <w:ilvl w:val="1"/>
          <w:numId w:val="126"/>
        </w:numPr>
        <w:ind w:left="0" w:firstLine="0"/>
        <w:rPr>
          <w:i w:val="0"/>
          <w:color w:val="auto"/>
        </w:rPr>
      </w:pPr>
      <w:r>
        <w:rPr>
          <w:i w:val="0"/>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5ADB5927" w14:textId="77777777" w:rsidR="004F04E1" w:rsidRDefault="00000000">
      <w:pPr>
        <w:pStyle w:val="Nvel3-R"/>
        <w:numPr>
          <w:ilvl w:val="2"/>
          <w:numId w:val="127"/>
        </w:numPr>
        <w:ind w:left="284" w:firstLine="0"/>
        <w:rPr>
          <w:i w:val="0"/>
          <w:color w:val="auto"/>
        </w:rPr>
      </w:pPr>
      <w:r>
        <w:rPr>
          <w:i w:val="0"/>
          <w:color w:val="auto"/>
        </w:rPr>
        <w:t xml:space="preserve">Para fins da comprovação de que trata este subitem, os atestados deverão dizer respeito a contratos executados com as seguintes características mínimas: </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2" w:anchor="art4" w:history="1">
        <w:proofErr w:type="spellStart"/>
        <w:r>
          <w:rPr>
            <w:rStyle w:val="LinkdaInternet"/>
            <w:color w:val="auto"/>
          </w:rPr>
          <w:t>arts</w:t>
        </w:r>
        <w:proofErr w:type="spellEnd"/>
        <w:r>
          <w:rPr>
            <w:rStyle w:val="LinkdaInternet"/>
            <w:color w:val="auto"/>
          </w:rPr>
          <w:t>. 4º, inciso XI, 21, inciso I</w:t>
        </w:r>
      </w:hyperlink>
      <w:r>
        <w:rPr>
          <w:color w:val="auto"/>
        </w:rPr>
        <w:t xml:space="preserve"> e </w:t>
      </w:r>
      <w:hyperlink r:id="rId33"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4"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5"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t>ESTIMATIVAS DO VALOR DA CONTRATAÇÃO</w:t>
      </w:r>
    </w:p>
    <w:p w14:paraId="5D246C96" w14:textId="50B7EDA2" w:rsidR="004F04E1" w:rsidRPr="001C26CD" w:rsidRDefault="00000000">
      <w:pPr>
        <w:pStyle w:val="Nvel2-Red"/>
        <w:numPr>
          <w:ilvl w:val="1"/>
          <w:numId w:val="139"/>
        </w:numPr>
        <w:ind w:left="0" w:firstLine="0"/>
        <w:rPr>
          <w:i w:val="0"/>
          <w:iCs w:val="0"/>
          <w:color w:val="auto"/>
        </w:rPr>
      </w:pPr>
      <w:r w:rsidRPr="001C26CD">
        <w:rPr>
          <w:i w:val="0"/>
          <w:iCs w:val="0"/>
          <w:color w:val="auto"/>
        </w:rPr>
        <w:t xml:space="preserve">O custo estimado total da contratação é de </w:t>
      </w:r>
      <w:r w:rsidR="00DB38FA" w:rsidRPr="001C26CD">
        <w:rPr>
          <w:i w:val="0"/>
          <w:iCs w:val="0"/>
          <w:color w:val="auto"/>
        </w:rPr>
        <w:t>{{</w:t>
      </w:r>
      <w:proofErr w:type="spellStart"/>
      <w:r w:rsidR="001C26CD" w:rsidRPr="001C26CD">
        <w:rPr>
          <w:rFonts w:hint="eastAsia"/>
          <w:i w:val="0"/>
          <w:iCs w:val="0"/>
          <w:color w:val="auto"/>
        </w:rPr>
        <w:t>valor_total</w:t>
      </w:r>
      <w:proofErr w:type="spellEnd"/>
      <w:r w:rsidR="00DB38FA" w:rsidRPr="001C26CD">
        <w:rPr>
          <w:i w:val="0"/>
          <w:iCs w:val="0"/>
          <w:color w:val="auto"/>
        </w:rPr>
        <w:t>}}</w:t>
      </w:r>
      <w:r w:rsidRPr="001C26CD">
        <w:rPr>
          <w:i w:val="0"/>
          <w:iCs w:val="0"/>
          <w:color w:val="auto"/>
        </w:rPr>
        <w:t xml:space="preserve"> (</w:t>
      </w:r>
      <w:r w:rsidR="001C26CD" w:rsidRPr="001C26CD">
        <w:rPr>
          <w:i w:val="0"/>
          <w:iCs w:val="0"/>
          <w:color w:val="auto"/>
        </w:rPr>
        <w:t>{{</w:t>
      </w:r>
      <w:proofErr w:type="spellStart"/>
      <w:r w:rsidR="001C26CD" w:rsidRPr="001C26CD">
        <w:rPr>
          <w:rFonts w:hint="eastAsia"/>
          <w:i w:val="0"/>
          <w:iCs w:val="0"/>
          <w:color w:val="auto"/>
        </w:rPr>
        <w:t>valor_total</w:t>
      </w:r>
      <w:r w:rsidR="001C26CD" w:rsidRPr="001C26CD">
        <w:rPr>
          <w:i w:val="0"/>
          <w:iCs w:val="0"/>
          <w:color w:val="auto"/>
        </w:rPr>
        <w:t>_extenso</w:t>
      </w:r>
      <w:proofErr w:type="spellEnd"/>
      <w:r w:rsidR="001C26CD" w:rsidRPr="001C26CD">
        <w:rPr>
          <w:i w:val="0"/>
          <w:iCs w:val="0"/>
          <w:color w:val="auto"/>
        </w:rPr>
        <w:t>}}</w:t>
      </w:r>
      <w:r w:rsidRPr="001C26CD">
        <w:rPr>
          <w:i w:val="0"/>
          <w:iCs w:val="0"/>
          <w:color w:val="auto"/>
        </w:rPr>
        <w:t>)</w:t>
      </w:r>
      <w:r w:rsidR="001C26CD">
        <w:rPr>
          <w:i w:val="0"/>
          <w:iCs w:val="0"/>
          <w:color w:val="auto"/>
        </w:rPr>
        <w:t>.</w:t>
      </w:r>
    </w:p>
    <w:p w14:paraId="59668E75" w14:textId="77777777" w:rsidR="004F04E1" w:rsidRDefault="00000000">
      <w:pPr>
        <w:pStyle w:val="Nivel01"/>
        <w:numPr>
          <w:ilvl w:val="0"/>
          <w:numId w:val="4"/>
        </w:numPr>
        <w:ind w:left="0" w:firstLine="0"/>
      </w:pPr>
      <w:r>
        <w:lastRenderedPageBreak/>
        <w:t>ADEQUAÇÃO ORÇAMENTÁRIA</w:t>
      </w:r>
    </w:p>
    <w:p w14:paraId="4E7401C9" w14:textId="77777777" w:rsidR="004F04E1" w:rsidRDefault="00000000">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53754958" w14:textId="77777777" w:rsidR="004F04E1" w:rsidRDefault="00000000">
      <w:pPr>
        <w:pStyle w:val="Nivel2"/>
        <w:numPr>
          <w:ilvl w:val="1"/>
          <w:numId w:val="141"/>
        </w:numPr>
        <w:ind w:left="0" w:firstLine="0"/>
        <w:rPr>
          <w:color w:val="auto"/>
        </w:rPr>
      </w:pPr>
      <w:r>
        <w:rPr>
          <w:color w:val="auto"/>
        </w:rPr>
        <w:t>A contratação será atendida pela seguinte dotação:</w:t>
      </w:r>
    </w:p>
    <w:p w14:paraId="558BA031" w14:textId="082C00B7"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Gestão/Unidade: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uasg</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3616315E" w14:textId="0AEF5736"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Ação Interna: [{{</w:t>
      </w:r>
      <w:proofErr w:type="spellStart"/>
      <w:r w:rsidRPr="001C26CD">
        <w:rPr>
          <w:rFonts w:ascii="Arial" w:eastAsia="Arial" w:hAnsi="Arial" w:cs="Arial"/>
          <w:sz w:val="20"/>
          <w:szCs w:val="20"/>
        </w:rPr>
        <w:t>acao_interna</w:t>
      </w:r>
      <w:proofErr w:type="spellEnd"/>
      <w:r w:rsidRPr="001C26CD">
        <w:rPr>
          <w:rFonts w:ascii="Arial" w:eastAsia="Arial" w:hAnsi="Arial" w:cs="Arial"/>
          <w:sz w:val="20"/>
          <w:szCs w:val="20"/>
        </w:rPr>
        <w:t>}}];</w:t>
      </w:r>
    </w:p>
    <w:p w14:paraId="688D4EDE" w14:textId="6309417B"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Fonte de Recursos: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fonte_recursos</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63217D0A" w14:textId="30DCAF5A" w:rsidR="001C26CD" w:rsidRPr="001C26CD" w:rsidRDefault="001C26CD" w:rsidP="00807B89">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Elemento de Despesa: [{{</w:t>
      </w:r>
      <w:proofErr w:type="spellStart"/>
      <w:r w:rsidRPr="001C26CD">
        <w:rPr>
          <w:rFonts w:ascii="Arial" w:eastAsia="Arial" w:hAnsi="Arial" w:cs="Arial"/>
          <w:sz w:val="20"/>
          <w:szCs w:val="20"/>
        </w:rPr>
        <w:t>natureza_despesa</w:t>
      </w:r>
      <w:proofErr w:type="spellEnd"/>
      <w:r w:rsidRPr="001C26CD">
        <w:rPr>
          <w:rFonts w:ascii="Arial" w:eastAsia="Arial" w:hAnsi="Arial" w:cs="Arial"/>
          <w:sz w:val="20"/>
          <w:szCs w:val="20"/>
        </w:rPr>
        <w:t>}}];</w:t>
      </w:r>
    </w:p>
    <w:p w14:paraId="244495AC" w14:textId="10B500E0"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Unidade Orçamentária: [{{</w:t>
      </w:r>
      <w:proofErr w:type="spellStart"/>
      <w:r w:rsidRPr="001C26CD">
        <w:rPr>
          <w:rFonts w:ascii="Arial" w:eastAsia="Arial" w:hAnsi="Arial" w:cs="Arial"/>
          <w:sz w:val="20"/>
          <w:szCs w:val="20"/>
        </w:rPr>
        <w:t>unidade_orcamentaria</w:t>
      </w:r>
      <w:proofErr w:type="spellEnd"/>
      <w:r w:rsidRPr="001C26CD">
        <w:rPr>
          <w:rFonts w:ascii="Arial" w:eastAsia="Arial" w:hAnsi="Arial" w:cs="Arial"/>
          <w:sz w:val="20"/>
          <w:szCs w:val="20"/>
        </w:rPr>
        <w:t>}}]; e</w:t>
      </w:r>
    </w:p>
    <w:p w14:paraId="1017770A" w14:textId="340C6B30"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Programa de Trabalho</w:t>
      </w:r>
      <w:r w:rsidR="001C26CD" w:rsidRPr="001C26CD">
        <w:rPr>
          <w:rFonts w:ascii="Arial" w:eastAsia="Arial" w:hAnsi="Arial" w:cs="Arial"/>
          <w:sz w:val="20"/>
          <w:szCs w:val="20"/>
        </w:rPr>
        <w:t xml:space="preserve"> Resumido (</w:t>
      </w:r>
      <w:proofErr w:type="spellStart"/>
      <w:r w:rsidR="001C26CD" w:rsidRPr="001C26CD">
        <w:rPr>
          <w:rFonts w:ascii="Arial" w:eastAsia="Arial" w:hAnsi="Arial" w:cs="Arial"/>
          <w:sz w:val="20"/>
          <w:szCs w:val="20"/>
        </w:rPr>
        <w:t>PTRes</w:t>
      </w:r>
      <w:proofErr w:type="spellEnd"/>
      <w:r w:rsidR="001C26CD" w:rsidRPr="001C26CD">
        <w:rPr>
          <w:rFonts w:ascii="Arial" w:eastAsia="Arial" w:hAnsi="Arial" w:cs="Arial"/>
          <w:sz w:val="20"/>
          <w:szCs w:val="20"/>
        </w:rPr>
        <w:t>)</w:t>
      </w:r>
      <w:r w:rsidRPr="001C26CD">
        <w:rPr>
          <w:rFonts w:ascii="Arial" w:eastAsia="Arial" w:hAnsi="Arial" w:cs="Arial"/>
          <w:sz w:val="20"/>
          <w:szCs w:val="20"/>
        </w:rPr>
        <w:t>: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programa_trabalho_resuminho</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r w:rsidR="001C26CD" w:rsidRPr="001C26CD">
        <w:rPr>
          <w:rFonts w:ascii="Arial" w:eastAsia="Arial" w:hAnsi="Arial" w:cs="Arial"/>
          <w:sz w:val="20"/>
          <w:szCs w:val="20"/>
        </w:rPr>
        <w:t>.</w:t>
      </w:r>
    </w:p>
    <w:p w14:paraId="48CDD103" w14:textId="77777777" w:rsidR="004F04E1" w:rsidRDefault="00000000">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apostilamento.</w:t>
      </w:r>
      <w:bookmarkStart w:id="3" w:name="_Hlk82471863"/>
      <w:bookmarkEnd w:id="3"/>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responsavel_pela_demanda</w:t>
      </w:r>
      <w:proofErr w:type="spellEnd"/>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ordenador_despesas</w:t>
      </w:r>
      <w:proofErr w:type="spellEnd"/>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headerReference w:type="default" r:id="rId36"/>
      <w:footerReference w:type="default" r:id="rId37"/>
      <w:pgSz w:w="11906" w:h="16838"/>
      <w:pgMar w:top="1418" w:right="1134" w:bottom="1418"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434B2" w14:textId="77777777" w:rsidR="007E4890" w:rsidRDefault="007E4890">
      <w:pPr>
        <w:rPr>
          <w:rFonts w:hint="eastAsia"/>
        </w:rPr>
      </w:pPr>
      <w:r>
        <w:separator/>
      </w:r>
    </w:p>
  </w:endnote>
  <w:endnote w:type="continuationSeparator" w:id="0">
    <w:p w14:paraId="4E9F1871" w14:textId="77777777" w:rsidR="007E4890" w:rsidRDefault="007E48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awlin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Content>
      <w:p w14:paraId="02F9E164" w14:textId="77777777" w:rsidR="004F04E1" w:rsidRDefault="00000000">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47485A12" w14:textId="77777777" w:rsidR="004F04E1"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p>
      <w:p w14:paraId="3DB44CD8" w14:textId="77777777" w:rsidR="004F04E1" w:rsidRDefault="00000000">
        <w:pPr>
          <w:pStyle w:val="Rodap"/>
          <w:rPr>
            <w:rFonts w:ascii="Rawline" w:hAnsi="Rawline" w:cs="Arial" w:hint="eastAsia"/>
            <w:sz w:val="12"/>
          </w:rPr>
        </w:pPr>
        <w:r>
          <w:rPr>
            <w:rFonts w:ascii="Rawline" w:hAnsi="Rawline" w:cs="Arial"/>
            <w:sz w:val="12"/>
          </w:rPr>
          <w:t>Câmara Nacional de Modelos de Licitações e Contratos da Consultoria-Geral da União</w:t>
        </w:r>
      </w:p>
      <w:p w14:paraId="48F4BEF4" w14:textId="77777777" w:rsidR="004F04E1" w:rsidRDefault="00000000">
        <w:pPr>
          <w:pStyle w:val="Rodap"/>
          <w:rPr>
            <w:rFonts w:ascii="Rawline" w:hAnsi="Rawline" w:cs="Arial" w:hint="eastAsia"/>
            <w:sz w:val="12"/>
          </w:rPr>
        </w:pPr>
        <w:r>
          <w:rPr>
            <w:rFonts w:ascii="Rawline" w:hAnsi="Rawline" w:cs="Arial"/>
            <w:sz w:val="12"/>
          </w:rPr>
          <w:t xml:space="preserve">Atualização: </w:t>
        </w:r>
        <w:proofErr w:type="gramStart"/>
        <w:r>
          <w:rPr>
            <w:rFonts w:ascii="Rawline" w:hAnsi="Rawline" w:cs="Arial"/>
            <w:sz w:val="12"/>
          </w:rPr>
          <w:t>Dezembro</w:t>
        </w:r>
        <w:proofErr w:type="gramEnd"/>
        <w:r>
          <w:rPr>
            <w:rFonts w:ascii="Rawline" w:hAnsi="Rawline" w:cs="Arial"/>
            <w:sz w:val="12"/>
          </w:rPr>
          <w:t>/2023</w:t>
        </w:r>
      </w:p>
      <w:p w14:paraId="704E713A" w14:textId="77777777" w:rsidR="004F04E1" w:rsidRDefault="00000000">
        <w:pPr>
          <w:pStyle w:val="Rodap"/>
          <w:rPr>
            <w:rFonts w:ascii="Rawline" w:hAnsi="Rawline" w:hint="eastAsia"/>
            <w:color w:val="0F243E" w:themeColor="text2" w:themeShade="80"/>
            <w:sz w:val="22"/>
            <w:szCs w:val="22"/>
          </w:rPr>
        </w:pPr>
        <w:r>
          <w:rPr>
            <w:rFonts w:ascii="Rawline" w:hAnsi="Rawline" w:cs="Arial"/>
            <w:sz w:val="12"/>
            <w:szCs w:val="12"/>
          </w:rPr>
          <w:t>Termo de Referência Aquisições – Contratação Direta</w:t>
        </w:r>
        <w:r>
          <w:rPr>
            <w:rFonts w:ascii="Rawline" w:hAnsi="Rawline" w:cs="Arial"/>
            <w:sz w:val="12"/>
            <w:szCs w:val="12"/>
          </w:rPr>
          <w:tab/>
        </w:r>
        <w:r>
          <w:rPr>
            <w:rFonts w:ascii="Rawline" w:hAnsi="Rawline" w:cs="Arial"/>
            <w:sz w:val="12"/>
            <w:szCs w:val="12"/>
          </w:rPr>
          <w:tab/>
        </w:r>
      </w:p>
      <w:p w14:paraId="0C5AAF11" w14:textId="77777777" w:rsidR="004F04E1" w:rsidRDefault="00000000">
        <w:pPr>
          <w:pStyle w:val="Rodap"/>
          <w:rPr>
            <w:rFonts w:ascii="Rawline" w:hAnsi="Rawline" w:hint="eastAsia"/>
            <w:sz w:val="12"/>
            <w:szCs w:val="12"/>
          </w:rPr>
        </w:pPr>
        <w:r>
          <w:rPr>
            <w:rFonts w:ascii="Rawline" w:hAnsi="Rawline"/>
            <w:sz w:val="12"/>
            <w:szCs w:val="12"/>
          </w:rPr>
          <w:t>Aprovado pela Secretaria de Gestão.</w:t>
        </w:r>
      </w:p>
      <w:p w14:paraId="0DFACF5C" w14:textId="77777777" w:rsidR="004F04E1" w:rsidRDefault="00000000">
        <w:pPr>
          <w:pStyle w:val="Rodap"/>
          <w:rPr>
            <w:rFonts w:ascii="Rawline" w:hAnsi="Rawline" w:hint="eastAsia"/>
          </w:rPr>
        </w:pPr>
        <w:r>
          <w:rPr>
            <w:rFonts w:ascii="Rawline" w:hAnsi="Rawline"/>
            <w:sz w:val="12"/>
            <w:szCs w:val="12"/>
          </w:rPr>
          <w:t>Identidade visual pela Secretaria de Gestão</w:t>
        </w:r>
      </w:p>
    </w:sdtContent>
  </w:sdt>
  <w:p w14:paraId="69F1A807" w14:textId="77777777" w:rsidR="004F04E1" w:rsidRDefault="004F04E1">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939C5" w14:textId="77777777" w:rsidR="007E4890" w:rsidRDefault="007E4890">
      <w:pPr>
        <w:rPr>
          <w:rFonts w:hint="eastAsia"/>
        </w:rPr>
      </w:pPr>
      <w:r>
        <w:separator/>
      </w:r>
    </w:p>
  </w:footnote>
  <w:footnote w:type="continuationSeparator" w:id="0">
    <w:p w14:paraId="31F1990A" w14:textId="77777777" w:rsidR="007E4890" w:rsidRDefault="007E489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BAF1F" w14:textId="77777777" w:rsidR="004F04E1" w:rsidRDefault="00000000">
    <w:pPr>
      <w:pStyle w:val="Cabealho"/>
      <w:jc w:val="right"/>
      <w:rPr>
        <w:rFonts w:ascii="Arial" w:hAnsi="Arial" w:cs="Arial"/>
        <w:sz w:val="20"/>
        <w:szCs w:val="20"/>
      </w:rPr>
    </w:pPr>
    <w:r>
      <w:rPr>
        <w:rFonts w:ascii="Arial" w:hAnsi="Arial" w:cs="Arial"/>
        <w:sz w:val="20"/>
        <w:szCs w:val="20"/>
      </w:rPr>
      <w:t>TERMO DE REFERÊNCIA - AQUISIÇÕES – CONTRATAÇÃO DIRETA</w:t>
    </w:r>
  </w:p>
  <w:p w14:paraId="1DEA370B" w14:textId="77777777" w:rsidR="004F04E1" w:rsidRDefault="004F04E1">
    <w:pPr>
      <w:pStyle w:val="Cabealho"/>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1A0085"/>
    <w:rsid w:val="001C26CD"/>
    <w:rsid w:val="00295A58"/>
    <w:rsid w:val="00445E4F"/>
    <w:rsid w:val="004D67A4"/>
    <w:rsid w:val="004F04E1"/>
    <w:rsid w:val="00504F92"/>
    <w:rsid w:val="007E4890"/>
    <w:rsid w:val="0082736C"/>
    <w:rsid w:val="00C32728"/>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in.gov.br/en/web/dou/-/instrucao-normativa-seges/me-n-77-de-4-de-novembro-de-2022-441681061" TargetMode="External"/><Relationship Id="rId26" Type="http://schemas.openxmlformats.org/officeDocument/2006/relationships/hyperlink" Target="https://www.gov.br/economia/pt-br/assuntos/drei/legislacao/arquivos/legislacoes-federais/indrei772020.pdf" TargetMode="External"/><Relationship Id="rId39" Type="http://schemas.openxmlformats.org/officeDocument/2006/relationships/theme" Target="theme/theme1.xml"/><Relationship Id="rId21" Type="http://schemas.openxmlformats.org/officeDocument/2006/relationships/hyperlink" Target="https://www.planalto.gov.br/ccivil_03/leis/l8429.htm"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empresas-e-negocios/pt-br/empreendedor" TargetMode="External"/><Relationship Id="rId33" Type="http://schemas.openxmlformats.org/officeDocument/2006/relationships/hyperlink" Target="https://www.planalto.gov.br/ccivil_03/leis/l5764.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s://www.gov.br/compras/pt-br/acesso-a-informacao/legislacao/instrucoes-normativas/instrucao-normativa-no-53-de-8-de-julho-de-2020" TargetMode="External"/><Relationship Id="rId29" Type="http://schemas.openxmlformats.org/officeDocument/2006/relationships/hyperlink" Target="https://www.gov.br/trabalho-e-previdencia/pt-br/servicos/empregador/programa-de-alimentacao-do-trabalhador-pat/arquivos-legislacao/instrucoes-normativas/pat_in_971_2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ortaltransparencia.gov.br/sancoes/cnep" TargetMode="External"/><Relationship Id="rId32" Type="http://schemas.openxmlformats.org/officeDocument/2006/relationships/hyperlink" Target="https://www.planalto.gov.br/ccivil_03/leis/l5764.ht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ortaldatransparencia.gov.br/ceis" TargetMode="External"/><Relationship Id="rId28" Type="http://schemas.openxmlformats.org/officeDocument/2006/relationships/hyperlink" Target="https://www.planalto.gov.br/ccivil_03/_ato2019-2022/2021/decreto/d10880.htm"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lanalto.gov.br/ccivil_03/leis/lcp/lcp123.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AGU/Pareceres/2019-2022/PRC-JL-01-2020.htm" TargetMode="External"/><Relationship Id="rId27" Type="http://schemas.openxmlformats.org/officeDocument/2006/relationships/hyperlink" Target="https://www.planalto.gov.br/ccivil_03/leis/l5764.htm" TargetMode="External"/><Relationship Id="rId30" Type="http://schemas.openxmlformats.org/officeDocument/2006/relationships/hyperlink" Target="https://www.gov.br/compras/pt-br/acesso-a-informacao/legislacao/instrucoes-normativas/instrucao-normativa-seges-me-no-116-de-21-de-dezembro-de-2021"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2.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customXml/itemProps4.xml><?xml version="1.0" encoding="utf-8"?>
<ds:datastoreItem xmlns:ds="http://schemas.openxmlformats.org/officeDocument/2006/customXml" ds:itemID="{58D91C4F-6E30-4B53-AA1B-A13F843D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4589</Words>
  <Characters>24782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cp:revision>
  <dcterms:created xsi:type="dcterms:W3CDTF">2024-07-12T01:23:00Z</dcterms:created>
  <dcterms:modified xsi:type="dcterms:W3CDTF">2024-07-16T00:36:00Z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