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(95 dias)</w:t>
        <w:br/>
        <w:t xml:space="preserve">Assinatura Contrato (104 dias)</w:t>
        <w:br/>
        <w:t xml:space="preserve">Sessão Pública (97 dias)</w:t>
        <w:br/>
        <w:t xml:space="preserve">Sessão Pública (128 dias)</w:t>
        <w:br/>
        <w:t xml:space="preserve">Homologado (1 dias)</w:t>
        <w:br/>
        <w:t xml:space="preserve">Homologado (8 dias)</w:t>
        <w:br/>
        <w:t xml:space="preserve">Em recurso (17 dias)</w:t>
        <w:br/>
        <w:t xml:space="preserve">Assinatura Contrato (81 dias)</w:t>
        <w:br/>
        <w:t xml:space="preserve">Assinatura Contrato (67 dias)</w:t>
        <w:br/>
        <w:t xml:space="preserve">Homologado (0 dias)</w:t>
        <w:br/>
        <w:t xml:space="preserve">AGU (15 dias)</w:t>
        <w:br/>
        <w:t xml:space="preserve">Total de dias 698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785810/2024-027/00 -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785810/2024-028/00 -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785810/2024-029/00 -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785810/2024-030/00 -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785810/2024-031/00 -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785810/2024-032/00 -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785810/2024-033/00 -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785810/2024-034/00 -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785810/2024-035/00 -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785810/2024-036/00 -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785810/2024-037/00 -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785810/2024-038/00 -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