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(126 dias)</w:t>
        <w:br/>
        <w:t xml:space="preserve">Assinatura Contrato (135 dias)</w:t>
        <w:br/>
        <w:t xml:space="preserve">Sessão Pública (97 dias)</w:t>
        <w:br/>
        <w:t xml:space="preserve">Sessão Pública (146 dias)</w:t>
        <w:br/>
        <w:t xml:space="preserve">Homologado (8 dias)</w:t>
        <w:br/>
        <w:t xml:space="preserve">Homologado (2 dias)</w:t>
        <w:br/>
        <w:t xml:space="preserve">Assinatura Contrato (61 dias)</w:t>
        <w:br/>
        <w:t xml:space="preserve">Assinatura Contrato (43 dias)</w:t>
        <w:br/>
        <w:t xml:space="preserve">Concluído (51 dias)</w:t>
        <w:br/>
        <w:t xml:space="preserve">Homologado (21 dias)</w:t>
        <w:br/>
        <w:t xml:space="preserve">Assinatura Contrato (78 dias)</w:t>
        <w:br/>
        <w:t xml:space="preserve">Total de dias 853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785810/2024-055/00 -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785810/2024-056/00 -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785810/2024-057/00 -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785810/2024-058/00 -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785810/2024-059/00 -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785810/2024-060/00 -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785810/2024-061/00 -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785810/2024-062/00 -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785810/2024-063/00 -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785810/2024-064/00 -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785810/2024-065/00 -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785810/2024-066/00 -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N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