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62123715" w:rsidR="005B3152" w:rsidRPr="00412DEC" w:rsidRDefault="005B3152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883A3E" w14:textId="77777777" w:rsidR="00AD594E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Link Portal de Licitações da Marinha: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</w:p>
    <w:p w14:paraId="5A86FDBB" w14:textId="466DF621" w:rsidR="00242915" w:rsidRPr="0088149F" w:rsidRDefault="000C0366" w:rsidP="00FE53D9">
      <w:pPr>
        <w:spacing w:after="0"/>
        <w:rPr>
          <w:rStyle w:val="Calibri"/>
          <w:rFonts w:ascii="Carlito" w:hAnsi="Carlito" w:cs="Carlito"/>
          <w:b/>
          <w:bCs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7A02C83C" w:rsidR="00E4196C" w:rsidRPr="002011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Percentual Desconto Obtido</w:t>
      </w:r>
    </w:p>
    <w:p w14:paraId="5C490633" w14:textId="77777777" w:rsidR="009864C4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30.78%</w:t>
      </w:r>
    </w:p>
    <w:p w14:paraId="48D4390E" w14:textId="77777777" w:rsidR="002C657E" w:rsidRPr="00E115B2" w:rsidRDefault="002C657E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Pr="00054C5B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Pr="00E115B2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(11 dias)</w:t>
        <w:br/>
        <w:t xml:space="preserve">Total de dias 172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A65DAB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47FCAE9E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542E6301" w14:textId="146AC653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 assinados</w:t>
      </w: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70E11">
      <w:headerReference w:type="default" r:id="rId8"/>
      <w:footerReference w:type="default" r:id="rId9"/>
      <w:pgSz w:w="12240" w:h="15840"/>
      <w:pgMar w:top="810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47F8" w14:textId="77777777" w:rsidR="00C53094" w:rsidRDefault="00C53094" w:rsidP="00386D13">
      <w:pPr>
        <w:spacing w:after="0" w:line="240" w:lineRule="auto"/>
      </w:pPr>
      <w:r>
        <w:separator/>
      </w:r>
    </w:p>
  </w:endnote>
  <w:endnote w:type="continuationSeparator" w:id="0">
    <w:p w14:paraId="55401F59" w14:textId="77777777" w:rsidR="00C53094" w:rsidRDefault="00C53094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A287" w14:textId="77777777" w:rsidR="00C53094" w:rsidRDefault="00C53094" w:rsidP="00386D13">
      <w:pPr>
        <w:spacing w:after="0" w:line="240" w:lineRule="auto"/>
      </w:pPr>
      <w:r>
        <w:separator/>
      </w:r>
    </w:p>
  </w:footnote>
  <w:footnote w:type="continuationSeparator" w:id="0">
    <w:p w14:paraId="40D8CEC1" w14:textId="77777777" w:rsidR="00C53094" w:rsidRDefault="00C53094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491B"/>
    <w:rsid w:val="000C0366"/>
    <w:rsid w:val="000D41ED"/>
    <w:rsid w:val="000D4C0E"/>
    <w:rsid w:val="000D7B25"/>
    <w:rsid w:val="000F2812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42915"/>
    <w:rsid w:val="0024299D"/>
    <w:rsid w:val="00270E11"/>
    <w:rsid w:val="00291E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B1EBA"/>
    <w:rsid w:val="004C3D33"/>
    <w:rsid w:val="00565D0E"/>
    <w:rsid w:val="00590BAE"/>
    <w:rsid w:val="005A31B5"/>
    <w:rsid w:val="005B3152"/>
    <w:rsid w:val="00627F69"/>
    <w:rsid w:val="00654E01"/>
    <w:rsid w:val="006901F7"/>
    <w:rsid w:val="006C6643"/>
    <w:rsid w:val="007126E7"/>
    <w:rsid w:val="00737A25"/>
    <w:rsid w:val="00764080"/>
    <w:rsid w:val="00772633"/>
    <w:rsid w:val="00783F98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A3182"/>
    <w:rsid w:val="00AD594E"/>
    <w:rsid w:val="00AF1AF8"/>
    <w:rsid w:val="00AF7086"/>
    <w:rsid w:val="00B661CC"/>
    <w:rsid w:val="00B71673"/>
    <w:rsid w:val="00B77312"/>
    <w:rsid w:val="00B81296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D36179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D10"/>
    <w:rsid w:val="00F72582"/>
    <w:rsid w:val="00F74F99"/>
    <w:rsid w:val="00F86F4F"/>
    <w:rsid w:val="00FA6D3A"/>
    <w:rsid w:val="00FB1280"/>
    <w:rsid w:val="00FC0055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https://licitacoescontratos.marinha.mil.br/licitacao/156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61</cp:revision>
  <dcterms:created xsi:type="dcterms:W3CDTF">2024-04-26T01:27:00Z</dcterms:created>
  <dcterms:modified xsi:type="dcterms:W3CDTF">2024-06-02T14:25:00Z</dcterms:modified>
  <dc:language>pt-BR</dc:language>
  <dc:identifier/>
</cp:coreProperties>
</file>