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384BB1" w:rsidRDefault="00000000">
      <w:pPr>
        <w:pStyle w:val="Normal1"/>
        <w:spacing w:after="0" w:line="240" w:lineRule="auto"/>
        <w:jc w:val="center"/>
        <w:rPr>
          <w:rFonts w:ascii="Carlito" w:hAnsi="Carlito" w:cs="Carlito"/>
        </w:rPr>
      </w:pPr>
      <w:r w:rsidRPr="00384BB1">
        <w:rPr>
          <w:rFonts w:ascii="Carlito" w:hAnsi="Carlito" w:cs="Carlito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4BB1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Pr="00384BB1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384BB1">
        <w:rPr>
          <w:rFonts w:ascii="Carlito" w:hAnsi="Carlito" w:cs="Carlito"/>
          <w:b/>
          <w:bCs/>
          <w:sz w:val="24"/>
          <w:szCs w:val="24"/>
        </w:rPr>
        <w:t>}}</w:t>
      </w:r>
    </w:p>
    <w:p w14:paraId="1C88626B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4972AA97" w14:textId="77777777" w:rsidR="00E56474" w:rsidRPr="00384BB1" w:rsidRDefault="00E56474" w:rsidP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Dispensa Eletrônica nº {{numero</w:t>
      </w:r>
      <w:proofErr w:type="gramStart"/>
      <w:r w:rsidRPr="00384BB1">
        <w:rPr>
          <w:rFonts w:ascii="Carlito" w:hAnsi="Carlito" w:cs="Carlito"/>
          <w:b/>
          <w:bCs/>
        </w:rPr>
        <w:t>}}/</w:t>
      </w:r>
      <w:proofErr w:type="gramEnd"/>
      <w:r w:rsidRPr="00384BB1">
        <w:rPr>
          <w:rFonts w:ascii="Carlito" w:hAnsi="Carlito" w:cs="Carlito"/>
          <w:b/>
          <w:bCs/>
        </w:rPr>
        <w:t>{{ano}}</w:t>
      </w:r>
    </w:p>
    <w:p w14:paraId="642BE4C6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2524D7A4" w14:textId="14CFAEC0" w:rsidR="00D148B8" w:rsidRPr="00384BB1" w:rsidRDefault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Justificativas Relevantes</w:t>
      </w:r>
    </w:p>
    <w:p w14:paraId="05B6185D" w14:textId="77777777" w:rsidR="00F60B41" w:rsidRPr="00384BB1" w:rsidRDefault="00F60B41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</w:p>
    <w:p w14:paraId="4AFE68E1" w14:textId="77777777" w:rsidR="00D148B8" w:rsidRPr="00384BB1" w:rsidRDefault="00000000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Processo Administrativo nº {{</w:t>
      </w:r>
      <w:proofErr w:type="spellStart"/>
      <w:r w:rsidRPr="00384BB1">
        <w:rPr>
          <w:rFonts w:ascii="Carlito" w:hAnsi="Carlito" w:cs="Carlito"/>
          <w:b/>
          <w:bCs/>
        </w:rPr>
        <w:t>nup</w:t>
      </w:r>
      <w:proofErr w:type="spellEnd"/>
      <w:r w:rsidRPr="00384BB1">
        <w:rPr>
          <w:rFonts w:ascii="Carlito" w:hAnsi="Carlito" w:cs="Carlito"/>
          <w:b/>
          <w:bCs/>
        </w:rPr>
        <w:t>}}</w:t>
      </w:r>
    </w:p>
    <w:p w14:paraId="69F6DB9F" w14:textId="2A2169E8" w:rsidR="00D148B8" w:rsidRDefault="00F60B4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Objeto: {{</w:t>
      </w:r>
      <w:proofErr w:type="spellStart"/>
      <w:r w:rsidR="00CA1F6E" w:rsidRPr="00384BB1">
        <w:rPr>
          <w:rFonts w:ascii="Carlito" w:hAnsi="Carlito" w:cs="Carlito"/>
          <w:b/>
          <w:bCs/>
        </w:rPr>
        <w:t>descricao_servico_primeira_letra_maiuscula</w:t>
      </w:r>
      <w:proofErr w:type="spellEnd"/>
      <w:r w:rsidRPr="00384BB1">
        <w:rPr>
          <w:rFonts w:ascii="Carlito" w:hAnsi="Carlito" w:cs="Carlito"/>
          <w:b/>
          <w:bCs/>
        </w:rPr>
        <w:t>}} {{</w:t>
      </w:r>
      <w:r w:rsidR="006C75BF" w:rsidRPr="00384BB1">
        <w:rPr>
          <w:rFonts w:ascii="Carlito" w:hAnsi="Carlito" w:cs="Carlito"/>
          <w:b/>
          <w:bCs/>
        </w:rPr>
        <w:t>objeto</w:t>
      </w:r>
      <w:r w:rsidRPr="00384BB1">
        <w:rPr>
          <w:rFonts w:ascii="Carlito" w:hAnsi="Carlito" w:cs="Carlito"/>
          <w:b/>
          <w:bCs/>
        </w:rPr>
        <w:t>}}</w:t>
      </w:r>
    </w:p>
    <w:p w14:paraId="18011C7F" w14:textId="77777777" w:rsidR="00384BB1" w:rsidRPr="00384BB1" w:rsidRDefault="00384BB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</w:p>
    <w:p w14:paraId="5B00485B" w14:textId="6CF015C9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1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A contratação é mais vantajosa do que eventuais alternativas, como a locação de bens?</w:t>
      </w:r>
    </w:p>
    <w:p w14:paraId="34E4A1E7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5180A15A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2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Há justificativa para não utilização de sistema de registro de preços?</w:t>
      </w:r>
    </w:p>
    <w:p w14:paraId="75B147D5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4EBAD1BC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3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Justificativa para ausência de Estudos Técnicos Preliminares (ETP) e Análise de Riscos</w:t>
      </w:r>
    </w:p>
    <w:p w14:paraId="63F5D1B6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A respeito da Matriz de alocação de risco, o art. 22 da Lei nº 14.133/21 prevê que a administração “poderá” contemplar a matriz de alocação de riscos. Porém, o objeto a ser adquirido 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Pr="00384BB1" w:rsidRDefault="00000000">
      <w:pPr>
        <w:pStyle w:val="Normal1"/>
        <w:spacing w:before="171" w:after="0"/>
        <w:ind w:left="2268"/>
        <w:jc w:val="both"/>
        <w:rPr>
          <w:rFonts w:ascii="Carlito" w:hAnsi="Carlito" w:cs="Carlito"/>
          <w:bCs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bCs/>
          <w:i/>
          <w:i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700D038B" w:rsidR="00D148B8" w:rsidRPr="00384BB1" w:rsidRDefault="00000000">
      <w:pPr>
        <w:pStyle w:val="Normal1"/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>4</w:t>
      </w:r>
      <w:r w:rsidR="00CA1F6E" w:rsidRPr="00384BB1">
        <w:rPr>
          <w:rFonts w:ascii="Carlito" w:hAnsi="Carlito" w:cs="Carlito"/>
          <w:b/>
          <w:bCs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 xml:space="preserve"> Justificativa para o enquadramento da contratação</w:t>
      </w:r>
    </w:p>
    <w:p w14:paraId="7C6AA128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Pr="00384BB1" w:rsidRDefault="00000000">
      <w:pPr>
        <w:pStyle w:val="Normal1"/>
        <w:spacing w:before="171"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para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lastRenderedPageBreak/>
        <w:t>§ 1º Para fins de aferição dos valores que atendam aos limites referidos nos incisos I e II do caput deste artigo, deverão ser observados:</w:t>
      </w:r>
    </w:p>
    <w:p w14:paraId="71F03A70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o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Sicaf</w:t>
      </w:r>
      <w:proofErr w:type="spell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7BEC7544" w14:textId="79B2D4E4" w:rsidR="00E56474" w:rsidRPr="00384BB1" w:rsidRDefault="00F60B41">
      <w:pPr>
        <w:pStyle w:val="Normal1"/>
        <w:spacing w:before="114" w:after="0"/>
        <w:rPr>
          <w:rFonts w:ascii="Carlito" w:hAnsi="Carlito" w:cs="Carlito"/>
          <w:b/>
          <w:bCs/>
          <w:sz w:val="28"/>
          <w:szCs w:val="28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 xml:space="preserve">5. </w:t>
      </w:r>
      <w:r w:rsidR="00E56474" w:rsidRPr="00384BB1">
        <w:rPr>
          <w:rFonts w:ascii="Carlito" w:hAnsi="Carlito" w:cs="Carlito"/>
          <w:b/>
          <w:bCs/>
          <w:sz w:val="24"/>
          <w:szCs w:val="24"/>
        </w:rPr>
        <w:t>Atividade de Custeio</w:t>
      </w:r>
    </w:p>
    <w:p w14:paraId="3BCCB43D" w14:textId="1F4A6EC6" w:rsidR="00E56474" w:rsidRPr="00384BB1" w:rsidRDefault="00E56474" w:rsidP="00A94438">
      <w:pPr>
        <w:pStyle w:val="Normal1"/>
        <w:spacing w:before="114" w:after="0"/>
        <w:ind w:firstLine="708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>{{</w:t>
      </w:r>
      <w:proofErr w:type="spellStart"/>
      <w:r w:rsidR="00C67101" w:rsidRPr="00384BB1">
        <w:rPr>
          <w:rFonts w:ascii="Carlito" w:hAnsi="Carlito" w:cs="Carlito"/>
        </w:rPr>
        <w:t>texto_custeio</w:t>
      </w:r>
      <w:proofErr w:type="spellEnd"/>
      <w:r w:rsidRPr="00384BB1">
        <w:rPr>
          <w:rFonts w:ascii="Carlito" w:hAnsi="Carlito" w:cs="Carlito"/>
        </w:rPr>
        <w:t>}}</w:t>
      </w:r>
    </w:p>
    <w:p w14:paraId="4C2430D0" w14:textId="5D202E5E" w:rsidR="00D148B8" w:rsidRPr="00384BB1" w:rsidRDefault="00E56474" w:rsidP="00384BB1">
      <w:pPr>
        <w:pStyle w:val="Normal1"/>
        <w:spacing w:before="171" w:after="0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  <w:b/>
          <w:bCs/>
        </w:rPr>
        <w:t xml:space="preserve">6. </w:t>
      </w:r>
      <w:r w:rsidR="00F60B41" w:rsidRPr="00384BB1">
        <w:rPr>
          <w:rFonts w:ascii="Carlito" w:hAnsi="Carlito" w:cs="Carlito"/>
          <w:b/>
          <w:color w:val="000000"/>
          <w:sz w:val="24"/>
          <w:szCs w:val="24"/>
        </w:rPr>
        <w:t>P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>arecer Jurídico</w:t>
      </w:r>
    </w:p>
    <w:p w14:paraId="23717E65" w14:textId="77777777" w:rsidR="00D148B8" w:rsidRPr="00384BB1" w:rsidRDefault="00000000">
      <w:pPr>
        <w:pStyle w:val="NormalWeb"/>
        <w:spacing w:before="0" w:after="0" w:line="276" w:lineRule="auto"/>
        <w:ind w:firstLine="1134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>Conforme previsto no Art. 2º, da Orientação Normativa nº 69/2021 da AGU:</w:t>
      </w:r>
    </w:p>
    <w:p w14:paraId="540AB292" w14:textId="77777777" w:rsidR="00D148B8" w:rsidRPr="00384BB1" w:rsidRDefault="00000000">
      <w:pPr>
        <w:pStyle w:val="NormalWeb"/>
        <w:spacing w:before="0" w:after="0" w:line="276" w:lineRule="auto"/>
        <w:ind w:left="2268"/>
        <w:jc w:val="both"/>
        <w:rPr>
          <w:rFonts w:ascii="Carlito" w:hAnsi="Carlito" w:cs="Carlito"/>
          <w:i/>
          <w:iCs/>
        </w:rPr>
      </w:pPr>
      <w:r w:rsidRPr="00384BB1">
        <w:rPr>
          <w:rFonts w:ascii="Carlito" w:hAnsi="Carlito" w:cs="Carlito"/>
          <w:i/>
          <w:iCs/>
          <w:color w:val="000000"/>
          <w:spacing w:val="2"/>
        </w:rPr>
        <w:t>“</w:t>
      </w:r>
      <w:r w:rsidRPr="00384BB1">
        <w:rPr>
          <w:rFonts w:ascii="Carlito" w:hAnsi="Carlito" w:cs="Carlito"/>
          <w:i/>
          <w:iCs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7FF17EB7" w14:textId="77777777" w:rsidR="00D148B8" w:rsidRPr="00384BB1" w:rsidRDefault="00D148B8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384BB1" w:rsidRDefault="00000000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384BB1" w:rsidRDefault="00D148B8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384BB1" w:rsidRDefault="00000000" w:rsidP="00925926">
      <w:pPr>
        <w:widowControl w:val="0"/>
        <w:jc w:val="center"/>
        <w:rPr>
          <w:rFonts w:ascii="Carlito" w:hAnsi="Carlito" w:cs="Carlito"/>
          <w:color w:val="FF0000"/>
          <w:szCs w:val="24"/>
        </w:rPr>
      </w:pPr>
      <w:r w:rsidRPr="00384BB1">
        <w:rPr>
          <w:rFonts w:ascii="Carlito" w:hAnsi="Carlito" w:cs="Carlito"/>
          <w:color w:val="000000"/>
          <w:szCs w:val="24"/>
        </w:rPr>
        <w:t>{{</w:t>
      </w:r>
      <w:proofErr w:type="spellStart"/>
      <w:r w:rsidRPr="00384BB1">
        <w:rPr>
          <w:rFonts w:ascii="Carlito" w:hAnsi="Carlito" w:cs="Carlito"/>
          <w:color w:val="000000"/>
          <w:szCs w:val="24"/>
        </w:rPr>
        <w:t>responsavel_</w:t>
      </w:r>
      <w:r w:rsidR="00BB1F46" w:rsidRPr="00384BB1">
        <w:rPr>
          <w:rFonts w:ascii="Carlito" w:hAnsi="Carlito" w:cs="Carlito"/>
          <w:color w:val="000000"/>
          <w:szCs w:val="24"/>
        </w:rPr>
        <w:t>pela_de</w:t>
      </w:r>
      <w:r w:rsidRPr="00384BB1">
        <w:rPr>
          <w:rFonts w:ascii="Carlito" w:hAnsi="Carlito" w:cs="Carlito"/>
          <w:color w:val="000000"/>
          <w:szCs w:val="24"/>
        </w:rPr>
        <w:t>manda</w:t>
      </w:r>
      <w:proofErr w:type="spellEnd"/>
      <w:r w:rsidR="00BB1F46" w:rsidRPr="00384BB1">
        <w:rPr>
          <w:rFonts w:ascii="Carlito" w:hAnsi="Carlito" w:cs="Carlito"/>
          <w:color w:val="000000"/>
          <w:szCs w:val="24"/>
        </w:rPr>
        <w:t>}</w:t>
      </w:r>
      <w:r w:rsidRPr="00384BB1">
        <w:rPr>
          <w:rFonts w:ascii="Carlito" w:hAnsi="Carlito" w:cs="Carlito"/>
          <w:color w:val="000000"/>
          <w:szCs w:val="24"/>
        </w:rPr>
        <w:t>}</w:t>
      </w:r>
    </w:p>
    <w:p w14:paraId="479A1819" w14:textId="2474C737" w:rsidR="00D148B8" w:rsidRPr="00384BB1" w:rsidRDefault="00925926" w:rsidP="00925926">
      <w:pPr>
        <w:pStyle w:val="Normal1"/>
        <w:tabs>
          <w:tab w:val="left" w:pos="1418"/>
        </w:tabs>
        <w:jc w:val="center"/>
        <w:rPr>
          <w:rFonts w:ascii="Carlito" w:hAnsi="Carlito" w:cs="Carlito"/>
          <w:sz w:val="24"/>
          <w:szCs w:val="28"/>
          <w:bdr w:val="single" w:sz="2" w:space="1" w:color="000000"/>
        </w:rPr>
      </w:pPr>
      <w:r w:rsidRPr="00384BB1">
        <w:rPr>
          <w:rFonts w:ascii="Carlito" w:hAnsi="Carlito" w:cs="Carlito"/>
          <w:sz w:val="24"/>
          <w:szCs w:val="28"/>
          <w:bdr w:val="single" w:sz="2" w:space="1" w:color="000000"/>
        </w:rPr>
        <w:t>ASSINADO DIGITALMENTE</w:t>
      </w:r>
    </w:p>
    <w:sectPr w:rsidR="00D148B8" w:rsidRPr="00384BB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123B37"/>
    <w:rsid w:val="00384BB1"/>
    <w:rsid w:val="004225FE"/>
    <w:rsid w:val="00533751"/>
    <w:rsid w:val="00533ACB"/>
    <w:rsid w:val="00535A47"/>
    <w:rsid w:val="005524B2"/>
    <w:rsid w:val="0066748E"/>
    <w:rsid w:val="006B2576"/>
    <w:rsid w:val="006C75BF"/>
    <w:rsid w:val="008E2170"/>
    <w:rsid w:val="008F385B"/>
    <w:rsid w:val="00925926"/>
    <w:rsid w:val="00946E7D"/>
    <w:rsid w:val="00A94438"/>
    <w:rsid w:val="00BB1F46"/>
    <w:rsid w:val="00C06272"/>
    <w:rsid w:val="00C345F4"/>
    <w:rsid w:val="00C67101"/>
    <w:rsid w:val="00CA1F6E"/>
    <w:rsid w:val="00D148B8"/>
    <w:rsid w:val="00D14AD6"/>
    <w:rsid w:val="00D72BBE"/>
    <w:rsid w:val="00D9114A"/>
    <w:rsid w:val="00E56474"/>
    <w:rsid w:val="00E96DBA"/>
    <w:rsid w:val="00F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18</cp:revision>
  <dcterms:created xsi:type="dcterms:W3CDTF">2024-07-11T02:32:00Z</dcterms:created>
  <dcterms:modified xsi:type="dcterms:W3CDTF">2024-07-26T00:08:00Z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