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95959"/>
          <w:sz w:val="20"/>
          <w:szCs w:val="20"/>
        </w:rPr>
        <w:t xml:space="preserve">RELATÓRIO ANALÍTICO · ANÁLISE EXPLORATÓRIA DE DADOS</w:t>
      </w:r>
    </w:p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Análise Exploratória de Dados — Acidentes PRF 2025</w:t>
      </w:r>
    </w:p>
    <w:p>
      <w:pPr>
        <w:spacing w:after="200"/>
        <w:jc w:val="center"/>
      </w:pPr>
      <w:r>
        <w:rPr>
          <w:i/>
          <w:iCs/>
          <w:color w:val="595959"/>
          <w:sz w:val="24"/>
          <w:szCs w:val="24"/>
        </w:rPr>
        <w:t xml:space="preserve">Fatores associados a acidentes com vítimas fatais nas rodovias federais brasileiras</w:t>
      </w:r>
    </w:p>
    <w:p>
      <w:pPr>
        <w:spacing w:after="40"/>
        <w:jc w:val="center"/>
      </w:pPr>
      <w:r>
        <w:rPr>
          <w:sz w:val="20"/>
          <w:szCs w:val="20"/>
        </w:rPr>
        <w:t xml:space="preserve">Fonte dos dados: Dados Abertos da PRF — base DATATRAN, ano de 2025</w:t>
      </w:r>
    </w:p>
    <w:p>
      <w:pPr>
        <w:spacing w:after="40"/>
        <w:jc w:val="center"/>
      </w:pPr>
      <w:r>
        <w:rPr>
          <w:sz w:val="20"/>
          <w:szCs w:val="20"/>
        </w:rPr>
        <w:t xml:space="preserve">Variável-alvo: </w:t>
      </w:r>
      <w:r>
        <w:rPr>
          <w:b/>
          <w:bCs/>
          <w:sz w:val="20"/>
          <w:szCs w:val="20"/>
        </w:rPr>
        <w:t xml:space="preserve">acidente_fatal</w:t>
      </w:r>
      <w:r>
        <w:rPr>
          <w:sz w:val="20"/>
          <w:szCs w:val="20"/>
        </w:rPr>
        <w:t xml:space="preserve"> (1 = pelo menos 1 morto, 0 = sem vítima fatal)  |  Período: jan–dez/2025  |  72.529 registros analisados</w:t>
      </w:r>
    </w:p>
    <w:p>
      <w:pPr>
        <w:spacing w:after="40" w:before="200"/>
        <w:jc w:val="center"/>
      </w:pPr>
      <w:r>
        <w:rPr>
          <w:sz w:val="20"/>
          <w:szCs w:val="20"/>
        </w:rPr>
        <w:t xml:space="preserve">Elaborado para: Aponti Academy — Trilha de Análise de Dados</w:t>
      </w:r>
    </w:p>
    <w:p>
      <w:pPr>
        <w:spacing w:after="400"/>
        <w:jc w:val="center"/>
      </w:pPr>
      <w:r>
        <w:rPr>
          <w:sz w:val="20"/>
          <w:szCs w:val="20"/>
        </w:rPr>
        <w:t xml:space="preserve">Autores: José Guilherme Teixeira Nunes e Francisco Almeida Lucas De Farias Junior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Sumário executivo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Em 2025, a base da PRF registrou </w:t>
      </w:r>
      <w:r>
        <w:rPr>
          <w:b/>
          <w:bCs/>
          <w:i w:val="false"/>
          <w:iCs w:val="false"/>
          <w:sz w:val="21"/>
          <w:szCs w:val="21"/>
        </w:rPr>
        <w:t xml:space="preserve">72.529 acidentes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 nas rodovias federais brasileiras. Desse total, </w:t>
      </w:r>
      <w:r>
        <w:rPr>
          <w:b/>
          <w:bCs/>
          <w:i w:val="false"/>
          <w:iCs w:val="false"/>
          <w:sz w:val="21"/>
          <w:szCs w:val="21"/>
        </w:rPr>
        <w:t xml:space="preserve">5.210 acidentes (7,18%)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 tiveram pelo menos uma vítima fatal, somando </w:t>
      </w:r>
      <w:r>
        <w:rPr>
          <w:b/>
          <w:bCs/>
          <w:i w:val="false"/>
          <w:iCs w:val="false"/>
          <w:sz w:val="21"/>
          <w:szCs w:val="21"/>
        </w:rPr>
        <w:t xml:space="preserve">6.043 mortos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 — uma taxa de </w:t>
      </w:r>
      <w:r>
        <w:rPr>
          <w:b/>
          <w:bCs/>
          <w:i w:val="false"/>
          <w:iCs w:val="false"/>
          <w:sz w:val="21"/>
          <w:szCs w:val="21"/>
        </w:rPr>
        <w:t xml:space="preserve">8,33 mortos a cada 100 acidentes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. Este relatório aplica o roteiro de EDA (indicadores → rankings/séries → análise bivariada com o alvo → combinações de fatores → síntese de hipóteses), tratando a variável-alvo como </w:t>
      </w:r>
      <w:r>
        <w:rPr>
          <w:b w:val="false"/>
          <w:bCs w:val="false"/>
          <w:i/>
          <w:iCs/>
          <w:sz w:val="21"/>
          <w:szCs w:val="21"/>
        </w:rPr>
        <w:t xml:space="preserve">acidente_fatal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0"/>
        <w:gridCol w:w="2260"/>
        <w:gridCol w:w="2260"/>
        <w:gridCol w:w="2246"/>
      </w:tblGrid>
      <w:tr>
        <w:trPr>
          <w:tblHeader/>
        </w:trPr>
        <w:tc>
          <w:tcPr>
            <w:tcW w:type="dxa" w:w="22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DE REGISTROS</w:t>
            </w:r>
          </w:p>
        </w:tc>
        <w:tc>
          <w:tcPr>
            <w:tcW w:type="dxa" w:w="22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EVENTOS-ALVO</w:t>
            </w:r>
          </w:p>
        </w:tc>
        <w:tc>
          <w:tcPr>
            <w:tcW w:type="dxa" w:w="22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DE MORTOS</w:t>
            </w:r>
          </w:p>
        </w:tc>
        <w:tc>
          <w:tcPr>
            <w:tcW w:type="dxa" w:w="224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TAXA / 100</w:t>
            </w:r>
          </w:p>
        </w:tc>
      </w:tr>
      <w:tr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72.529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5.210 (7,18%)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6.043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8,33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DCE6F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Achado central</w:t>
            </w:r>
          </w:p>
          <w:p>
            <w:r>
              <w:rPr>
                <w:sz w:val="20"/>
                <w:szCs w:val="20"/>
              </w:rPr>
              <w:t xml:space="preserve">O volume de acidentes não é um bom previsor de gravidade. Colisões traseiras somam 14.360 registros, mas apenas 4,3% terminam em morte; atropelamentos de pedestre (3.057 casos) e colisões frontais (4.739 casos) matam em cerca de 29,5% das vezes — mais de 4 vezes a taxa global de 7,18%. O mesmo padrão aparece por localidade: Minas Gerais lidera em volume (9.570 acidentes) com letalidade de 6,76%, enquanto o Maranhão, com apenas 1.262 acidentes, tem a maior letalidade do país (18,70%).</w:t>
            </w:r>
          </w:p>
        </w:tc>
      </w:tr>
    </w:tbl>
    <w:p>
      <w:pPr>
        <w:pStyle w:val="Heading1"/>
        <w:spacing w:after="160" w:before="320"/>
      </w:pPr>
      <w:r>
        <w:t xml:space="preserve">2. Estatística descritiva e indicadores globais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tabela abaixo consolida os indicadores globais da base — o ponto de partida para qualquer leitura segmentada nas seções seguintes.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226"/>
      </w:tblGrid>
      <w:tr>
        <w:trPr>
          <w:tblHeader/>
        </w:trPr>
        <w:tc>
          <w:tcPr>
            <w:tcW w:type="dxa" w:w="6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2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de acidentes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72.529</w:t>
            </w:r>
          </w:p>
        </w:tc>
      </w:tr>
      <w:tr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Acidentes com vítima fatal</w:t>
            </w:r>
          </w:p>
        </w:tc>
        <w:tc>
          <w:tcPr>
            <w:tcW w:type="dxa" w:w="22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5.210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% de acidentes fatais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7,18%</w:t>
            </w:r>
          </w:p>
        </w:tc>
      </w:tr>
      <w:tr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de mortos</w:t>
            </w:r>
          </w:p>
        </w:tc>
        <w:tc>
          <w:tcPr>
            <w:tcW w:type="dxa" w:w="22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6.043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Mortos por 100 acidentes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8,33</w:t>
            </w:r>
          </w:p>
        </w:tc>
      </w:tr>
      <w:tr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de feridos</w:t>
            </w:r>
          </w:p>
        </w:tc>
        <w:tc>
          <w:tcPr>
            <w:tcW w:type="dxa" w:w="22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83.550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de feridos graves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20.018</w:t>
            </w:r>
          </w:p>
        </w:tc>
      </w:tr>
      <w:tr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de ilesos</w:t>
            </w:r>
          </w:p>
        </w:tc>
        <w:tc>
          <w:tcPr>
            <w:tcW w:type="dxa" w:w="22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76.406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de veículos envolvidos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144.922</w:t>
            </w:r>
          </w:p>
        </w:tc>
      </w:tr>
      <w:tr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de pessoas envolvidas</w:t>
            </w:r>
          </w:p>
        </w:tc>
        <w:tc>
          <w:tcPr>
            <w:tcW w:type="dxa" w:w="22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188.346</w:t>
            </w:r>
          </w:p>
        </w:tc>
      </w:tr>
      <w:tr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 de pessoas por acidente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2,60</w:t>
            </w:r>
          </w:p>
        </w:tc>
      </w:tr>
      <w:tr>
        <w:tc>
          <w:tcPr>
            <w:tcW w:type="dxa" w:w="6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 de veículos por acidente</w:t>
            </w:r>
          </w:p>
        </w:tc>
        <w:tc>
          <w:tcPr>
            <w:tcW w:type="dxa" w:w="22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2,00</w:t>
            </w:r>
          </w:p>
        </w:tc>
      </w:tr>
    </w:tbl>
    <w:p>
      <w:pPr>
        <w:spacing w:after="160"/>
      </w:pP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Os indicadores de gravidade são fortemente assimétricos: a mediana de mortos por acidente é 0 (média de apenas 0,08), e 92,8% dos acidentes não têm nenhuma vítima fatal. Por isso a análise segue com proporções (% de fatalidade) e comparações relativas entre grupos, e não com médias simples — que seriam distorcidas pelos poucos acidentes muito graves.</w:t>
      </w:r>
    </w:p>
    <w:p>
      <w:pPr>
        <w:pStyle w:val="Heading1"/>
        <w:spacing w:after="160" w:before="320"/>
      </w:pPr>
      <w:r>
        <w:t xml:space="preserve">3. Rankings — onde os eventos acontecem</w:t>
      </w:r>
    </w:p>
    <w:p>
      <w:pPr>
        <w:pStyle w:val="Heading2"/>
        <w:spacing w:after="120" w:before="240"/>
      </w:pPr>
      <w:r>
        <w:t xml:space="preserve">3.1 Por tipo de acidente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800"/>
        <w:gridCol w:w="1800"/>
        <w:gridCol w:w="1800"/>
      </w:tblGrid>
      <w:tr>
        <w:trPr>
          <w:tblHeader/>
        </w:trPr>
        <w:tc>
          <w:tcPr>
            <w:tcW w:type="dxa" w:w="36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de Acidente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Acidentes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Mortos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Fatalidade</w:t>
            </w: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Colisão traseira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14.360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683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4,31%</w:t>
            </w:r>
          </w:p>
        </w:tc>
      </w:tr>
      <w:tr>
        <w:tc>
          <w:tcPr>
            <w:tcW w:type="dxa" w:w="36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Saída de leito carroçável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10.209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700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5,93%</w:t>
            </w: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Colisão transversal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9.306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4,59%</w:t>
            </w:r>
          </w:p>
        </w:tc>
      </w:tr>
      <w:tr>
        <w:tc>
          <w:tcPr>
            <w:tcW w:type="dxa" w:w="36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Colisão lateral mesmo sentido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7.885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228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2,69%</w:t>
            </w: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Tombamento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6.351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4,22%</w:t>
            </w:r>
          </w:p>
        </w:tc>
      </w:tr>
      <w:tr>
        <w:tc>
          <w:tcPr>
            <w:tcW w:type="dxa" w:w="36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Colisão com objeto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5.109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323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5,81%</w:t>
            </w: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Colisão frontal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4.739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1.863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29,46%</w:t>
            </w:r>
          </w:p>
        </w:tc>
      </w:tr>
      <w:tr>
        <w:tc>
          <w:tcPr>
            <w:tcW w:type="dxa" w:w="36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Queda de ocupante de veículo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3.450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89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2,52%</w:t>
            </w: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Atropelamento de pedestre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3.057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919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29,51%</w:t>
            </w:r>
          </w:p>
        </w:tc>
      </w:tr>
      <w:tr>
        <w:tc>
          <w:tcPr>
            <w:tcW w:type="dxa" w:w="36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Colisão lateral sentido oposto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2.152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255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9,85%</w:t>
            </w: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Incêndio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1.771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0,00%</w:t>
            </w:r>
          </w:p>
        </w:tc>
      </w:tr>
      <w:tr>
        <w:tc>
          <w:tcPr>
            <w:tcW w:type="dxa" w:w="36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Capotamento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1.373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74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4,59%</w:t>
            </w: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Engavetamento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1.233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2,27%</w:t>
            </w:r>
          </w:p>
        </w:tc>
      </w:tr>
      <w:tr>
        <w:tc>
          <w:tcPr>
            <w:tcW w:type="dxa" w:w="36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Atropelamento de animal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1.133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74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6,00%</w:t>
            </w: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Eventos atípicos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8,01%</w:t>
            </w:r>
          </w:p>
        </w:tc>
      </w:tr>
      <w:tr>
        <w:tc>
          <w:tcPr>
            <w:tcW w:type="dxa" w:w="36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Derramamento de carga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107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2,80%</w:t>
            </w: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Sinistro pessoal de trânsito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0,00%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DCE6F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Leitura</w:t>
            </w:r>
          </w:p>
          <w:p>
            <w:r>
              <w:rPr>
                <w:sz w:val="20"/>
                <w:szCs w:val="20"/>
              </w:rPr>
              <w:t xml:space="preserve">As colisões traseiras (14.360) e saídas de leito carroçável (10.209) concentram o maior volume de registros, mas suas taxas de fatalidade (4,31% e 5,93%) ficam abaixo da média global. Colisão frontal (29,46%) e atropelamento de pedestre (29,51%) contam a história oposta: poucos casos, porém altíssima letalidade — histórias bem diferentes por trás de volumes parecidos.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3.2 Por UF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UF proporcionalmente mais associada ao indicador-alvo (com corte mínimo de 100 registros, para evitar percentuais instáveis em estados com poucos casos):</w:t>
      </w:r>
    </w:p>
    <w:p>
      <w:pPr>
        <w:spacing w:after="80"/>
        <w:jc w:val="both"/>
      </w:pPr>
      <w:r>
        <w:rPr>
          <w:b/>
          <w:bCs/>
          <w:i w:val="false"/>
          <w:iCs w:val="false"/>
          <w:sz w:val="21"/>
          <w:szCs w:val="21"/>
        </w:rPr>
        <w:t xml:space="preserve">Top 8 por volume de acidentes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8"/>
        <w:gridCol w:w="2000"/>
        <w:gridCol w:w="3018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UF</w:t>
            </w:r>
          </w:p>
        </w:tc>
        <w:tc>
          <w:tcPr>
            <w:tcW w:type="dxa" w:w="250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Acidentes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Mortos</w:t>
            </w:r>
          </w:p>
        </w:tc>
        <w:tc>
          <w:tcPr>
            <w:tcW w:type="dxa" w:w="301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Fatalidade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MG</w:t>
            </w: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9.570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765</w:t>
            </w:r>
          </w:p>
        </w:tc>
        <w:tc>
          <w:tcPr>
            <w:tcW w:type="dxa" w:w="30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6,76%</w:t>
            </w:r>
          </w:p>
        </w:tc>
      </w:tr>
      <w:tr>
        <w:tc>
          <w:tcPr>
            <w:tcW w:type="dxa" w:w="1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</w:t>
            </w:r>
          </w:p>
        </w:tc>
        <w:tc>
          <w:tcPr>
            <w:tcW w:type="dxa" w:w="250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8.186</w:t>
            </w:r>
          </w:p>
        </w:tc>
        <w:tc>
          <w:tcPr>
            <w:tcW w:type="dxa" w:w="20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434</w:t>
            </w:r>
          </w:p>
        </w:tc>
        <w:tc>
          <w:tcPr>
            <w:tcW w:type="dxa" w:w="301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4,57%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</w:t>
            </w: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7.630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593</w:t>
            </w:r>
          </w:p>
        </w:tc>
        <w:tc>
          <w:tcPr>
            <w:tcW w:type="dxa" w:w="30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6,70%</w:t>
            </w:r>
          </w:p>
        </w:tc>
      </w:tr>
      <w:tr>
        <w:tc>
          <w:tcPr>
            <w:tcW w:type="dxa" w:w="1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RJ</w:t>
            </w:r>
          </w:p>
        </w:tc>
        <w:tc>
          <w:tcPr>
            <w:tcW w:type="dxa" w:w="250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6.428</w:t>
            </w:r>
          </w:p>
        </w:tc>
        <w:tc>
          <w:tcPr>
            <w:tcW w:type="dxa" w:w="20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330</w:t>
            </w:r>
          </w:p>
        </w:tc>
        <w:tc>
          <w:tcPr>
            <w:tcW w:type="dxa" w:w="301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4,76%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</w:t>
            </w: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4.899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327</w:t>
            </w:r>
          </w:p>
        </w:tc>
        <w:tc>
          <w:tcPr>
            <w:tcW w:type="dxa" w:w="30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5,61%</w:t>
            </w:r>
          </w:p>
        </w:tc>
      </w:tr>
      <w:tr>
        <w:tc>
          <w:tcPr>
            <w:tcW w:type="dxa" w:w="1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</w:t>
            </w:r>
          </w:p>
        </w:tc>
        <w:tc>
          <w:tcPr>
            <w:tcW w:type="dxa" w:w="250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4.683</w:t>
            </w:r>
          </w:p>
        </w:tc>
        <w:tc>
          <w:tcPr>
            <w:tcW w:type="dxa" w:w="20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221</w:t>
            </w:r>
          </w:p>
        </w:tc>
        <w:tc>
          <w:tcPr>
            <w:tcW w:type="dxa" w:w="301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4,38%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</w:t>
            </w: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4.108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583</w:t>
            </w:r>
          </w:p>
        </w:tc>
        <w:tc>
          <w:tcPr>
            <w:tcW w:type="dxa" w:w="30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11,59%</w:t>
            </w:r>
          </w:p>
        </w:tc>
      </w:tr>
      <w:tr>
        <w:tc>
          <w:tcPr>
            <w:tcW w:type="dxa" w:w="1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</w:t>
            </w:r>
          </w:p>
        </w:tc>
        <w:tc>
          <w:tcPr>
            <w:tcW w:type="dxa" w:w="250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3.196</w:t>
            </w:r>
          </w:p>
        </w:tc>
        <w:tc>
          <w:tcPr>
            <w:tcW w:type="dxa" w:w="20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308</w:t>
            </w:r>
          </w:p>
        </w:tc>
        <w:tc>
          <w:tcPr>
            <w:tcW w:type="dxa" w:w="301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7,73%</w:t>
            </w:r>
          </w:p>
        </w:tc>
      </w:tr>
    </w:tbl>
    <w:p>
      <w:pPr>
        <w:spacing w:after="160"/>
      </w:pPr>
    </w:p>
    <w:p>
      <w:pPr>
        <w:spacing w:after="80"/>
        <w:jc w:val="both"/>
      </w:pPr>
      <w:r>
        <w:rPr>
          <w:b/>
          <w:bCs/>
          <w:i w:val="false"/>
          <w:iCs w:val="false"/>
          <w:sz w:val="21"/>
          <w:szCs w:val="21"/>
        </w:rPr>
        <w:t xml:space="preserve">Top 8 por % de fatalidade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8"/>
        <w:gridCol w:w="2000"/>
        <w:gridCol w:w="3018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UF</w:t>
            </w:r>
          </w:p>
        </w:tc>
        <w:tc>
          <w:tcPr>
            <w:tcW w:type="dxa" w:w="250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Acidentes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Mortos</w:t>
            </w:r>
          </w:p>
        </w:tc>
        <w:tc>
          <w:tcPr>
            <w:tcW w:type="dxa" w:w="301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Fatalidade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</w:t>
            </w: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1.262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281</w:t>
            </w:r>
          </w:p>
        </w:tc>
        <w:tc>
          <w:tcPr>
            <w:tcW w:type="dxa" w:w="30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18,70%</w:t>
            </w:r>
          </w:p>
        </w:tc>
      </w:tr>
      <w:tr>
        <w:tc>
          <w:tcPr>
            <w:tcW w:type="dxa" w:w="1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</w:t>
            </w:r>
          </w:p>
        </w:tc>
        <w:tc>
          <w:tcPr>
            <w:tcW w:type="dxa" w:w="250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1.117</w:t>
            </w:r>
          </w:p>
        </w:tc>
        <w:tc>
          <w:tcPr>
            <w:tcW w:type="dxa" w:w="20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224</w:t>
            </w:r>
          </w:p>
        </w:tc>
        <w:tc>
          <w:tcPr>
            <w:tcW w:type="dxa" w:w="301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17,28%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RR</w:t>
            </w: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30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16,20%</w:t>
            </w:r>
          </w:p>
        </w:tc>
      </w:tr>
      <w:tr>
        <w:tc>
          <w:tcPr>
            <w:tcW w:type="dxa" w:w="1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</w:t>
            </w:r>
          </w:p>
        </w:tc>
        <w:tc>
          <w:tcPr>
            <w:tcW w:type="dxa" w:w="250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138</w:t>
            </w:r>
          </w:p>
        </w:tc>
        <w:tc>
          <w:tcPr>
            <w:tcW w:type="dxa" w:w="20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dxa" w:w="301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13,77%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</w:t>
            </w: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96</w:t>
            </w:r>
          </w:p>
        </w:tc>
        <w:tc>
          <w:tcPr>
            <w:tcW w:type="dxa" w:w="30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13,67%</w:t>
            </w:r>
          </w:p>
        </w:tc>
      </w:tr>
      <w:tr>
        <w:tc>
          <w:tcPr>
            <w:tcW w:type="dxa" w:w="1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</w:t>
            </w:r>
          </w:p>
        </w:tc>
        <w:tc>
          <w:tcPr>
            <w:tcW w:type="dxa" w:w="250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677</w:t>
            </w:r>
          </w:p>
        </w:tc>
        <w:tc>
          <w:tcPr>
            <w:tcW w:type="dxa" w:w="20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102</w:t>
            </w:r>
          </w:p>
        </w:tc>
        <w:tc>
          <w:tcPr>
            <w:tcW w:type="dxa" w:w="301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12,26%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</w:t>
            </w: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1.302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171</w:t>
            </w:r>
          </w:p>
        </w:tc>
        <w:tc>
          <w:tcPr>
            <w:tcW w:type="dxa" w:w="30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11,75%</w:t>
            </w:r>
          </w:p>
        </w:tc>
      </w:tr>
      <w:tr>
        <w:tc>
          <w:tcPr>
            <w:tcW w:type="dxa" w:w="1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</w:t>
            </w:r>
          </w:p>
        </w:tc>
        <w:tc>
          <w:tcPr>
            <w:tcW w:type="dxa" w:w="250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4.108</w:t>
            </w:r>
          </w:p>
        </w:tc>
        <w:tc>
          <w:tcPr>
            <w:tcW w:type="dxa" w:w="20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583</w:t>
            </w:r>
          </w:p>
        </w:tc>
        <w:tc>
          <w:tcPr>
            <w:tcW w:type="dxa" w:w="301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11,59%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BEA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Atenção à confusão volume x proporção</w:t>
            </w:r>
          </w:p>
          <w:p>
            <w:r>
              <w:rPr>
                <w:sz w:val="20"/>
                <w:szCs w:val="20"/>
              </w:rPr>
              <w:t xml:space="preserve">Minas Gerais lidera em volume absoluto (9.570 acidentes), mas fica fora do top 8 de letalidade (6,76%). Já o Maranhão, apenas na 18ª posição em volume (1.262 acidentes), tem a maior letalidade do país (18,70%) — quase 3 vezes a taxa nacional de 7,18%.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3.3 Por rodovia (BR)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As rodovias BR-101 e BR-116 concentram, juntas, mais de 24 mil acidentes — cerca de um terço de todo o volume analisado neste recorte. Olhando para letalidade, porém, o cenário muda: BRs de menor movimento, como a BR-423 (183 acidentes, 21,86% fatais) e a BR-242 (283 acidentes, 19,08% fatais), superam com folga rodovias de grande volume como a BR-101 (5,24% fatais).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 xml:space="preserve">Gráfico 1 — Top 10 BRs por volume de acidentes (esquerda) e por % de fatalidade, com corte mínimo de 100 registros (direita). A linha tracejada marca a taxa média nacional (7,18%).</w:t>
      </w:r>
    </w:p>
    <w:p>
      <w:pPr>
        <w:pStyle w:val="Heading1"/>
        <w:spacing w:after="160" w:before="320"/>
      </w:pPr>
      <w:r>
        <w:t xml:space="preserve">4. Séries temporais</w:t>
      </w:r>
    </w:p>
    <w:p>
      <w:pPr>
        <w:pStyle w:val="Heading2"/>
        <w:spacing w:after="120" w:before="240"/>
      </w:pPr>
      <w:r>
        <w:t xml:space="preserve">4.1 Série mensal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volume de acidentes cresce ao longo do ano, saindo de 5.528 em janeiro para um pico de 6.788 em dezembro — período tradicionalmente associado a férias, festas de fim de ano e maior fluxo nas rodovias. Apesar dessa variação de quase 23% no volume mensal, a % de fatalidade se mantém estável, oscilando entre 6,49% e 8,27% o ano inteiro, com o maior pico em maio. Isso indica que o aumento de acidentes em determinados meses reflete sobretudo volume de tráfego, não uma mudança na gravidade típica de cada acidente.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6"/>
        <w:gridCol w:w="1906"/>
        <w:gridCol w:w="1906"/>
        <w:gridCol w:w="1908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Mês</w:t>
            </w:r>
          </w:p>
        </w:tc>
        <w:tc>
          <w:tcPr>
            <w:tcW w:type="dxa" w:w="190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Acidentes</w:t>
            </w:r>
          </w:p>
        </w:tc>
        <w:tc>
          <w:tcPr>
            <w:tcW w:type="dxa" w:w="190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Acidentes Fatais</w:t>
            </w:r>
          </w:p>
        </w:tc>
        <w:tc>
          <w:tcPr>
            <w:tcW w:type="dxa" w:w="190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Mortos</w:t>
            </w:r>
          </w:p>
        </w:tc>
        <w:tc>
          <w:tcPr>
            <w:tcW w:type="dxa" w:w="190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Fatalidade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Jan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5.528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359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418</w:t>
            </w:r>
          </w:p>
        </w:tc>
        <w:tc>
          <w:tcPr>
            <w:tcW w:type="dxa" w:w="19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6,49%</w:t>
            </w:r>
          </w:p>
        </w:tc>
      </w:tr>
      <w:tr>
        <w:tc>
          <w:tcPr>
            <w:tcW w:type="dxa" w:w="1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Fev</w:t>
            </w:r>
          </w:p>
        </w:tc>
        <w:tc>
          <w:tcPr>
            <w:tcW w:type="dxa" w:w="190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5.287</w:t>
            </w:r>
          </w:p>
        </w:tc>
        <w:tc>
          <w:tcPr>
            <w:tcW w:type="dxa" w:w="190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362</w:t>
            </w:r>
          </w:p>
        </w:tc>
        <w:tc>
          <w:tcPr>
            <w:tcW w:type="dxa" w:w="190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412</w:t>
            </w:r>
          </w:p>
        </w:tc>
        <w:tc>
          <w:tcPr>
            <w:tcW w:type="dxa" w:w="190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6,85%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5.960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402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462</w:t>
            </w:r>
          </w:p>
        </w:tc>
        <w:tc>
          <w:tcPr>
            <w:tcW w:type="dxa" w:w="19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6,74%</w:t>
            </w:r>
          </w:p>
        </w:tc>
      </w:tr>
      <w:tr>
        <w:tc>
          <w:tcPr>
            <w:tcW w:type="dxa" w:w="1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Abr</w:t>
            </w:r>
          </w:p>
        </w:tc>
        <w:tc>
          <w:tcPr>
            <w:tcW w:type="dxa" w:w="190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5.786</w:t>
            </w:r>
          </w:p>
        </w:tc>
        <w:tc>
          <w:tcPr>
            <w:tcW w:type="dxa" w:w="190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414</w:t>
            </w:r>
          </w:p>
        </w:tc>
        <w:tc>
          <w:tcPr>
            <w:tcW w:type="dxa" w:w="190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495</w:t>
            </w:r>
          </w:p>
        </w:tc>
        <w:tc>
          <w:tcPr>
            <w:tcW w:type="dxa" w:w="190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7,15%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6.096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504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574</w:t>
            </w:r>
          </w:p>
        </w:tc>
        <w:tc>
          <w:tcPr>
            <w:tcW w:type="dxa" w:w="19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8,27%</w:t>
            </w:r>
          </w:p>
        </w:tc>
      </w:tr>
      <w:tr>
        <w:tc>
          <w:tcPr>
            <w:tcW w:type="dxa" w:w="1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Jun</w:t>
            </w:r>
          </w:p>
        </w:tc>
        <w:tc>
          <w:tcPr>
            <w:tcW w:type="dxa" w:w="190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6.122</w:t>
            </w:r>
          </w:p>
        </w:tc>
        <w:tc>
          <w:tcPr>
            <w:tcW w:type="dxa" w:w="190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457</w:t>
            </w:r>
          </w:p>
        </w:tc>
        <w:tc>
          <w:tcPr>
            <w:tcW w:type="dxa" w:w="190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528</w:t>
            </w:r>
          </w:p>
        </w:tc>
        <w:tc>
          <w:tcPr>
            <w:tcW w:type="dxa" w:w="190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7,46%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Jul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6.238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456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536</w:t>
            </w:r>
          </w:p>
        </w:tc>
        <w:tc>
          <w:tcPr>
            <w:tcW w:type="dxa" w:w="19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7,31%</w:t>
            </w:r>
          </w:p>
        </w:tc>
      </w:tr>
      <w:tr>
        <w:tc>
          <w:tcPr>
            <w:tcW w:type="dxa" w:w="1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Ago</w:t>
            </w:r>
          </w:p>
        </w:tc>
        <w:tc>
          <w:tcPr>
            <w:tcW w:type="dxa" w:w="190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6.246</w:t>
            </w:r>
          </w:p>
        </w:tc>
        <w:tc>
          <w:tcPr>
            <w:tcW w:type="dxa" w:w="190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472</w:t>
            </w:r>
          </w:p>
        </w:tc>
        <w:tc>
          <w:tcPr>
            <w:tcW w:type="dxa" w:w="190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554</w:t>
            </w:r>
          </w:p>
        </w:tc>
        <w:tc>
          <w:tcPr>
            <w:tcW w:type="dxa" w:w="190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7,56%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6.017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438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19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7,28%</w:t>
            </w:r>
          </w:p>
        </w:tc>
      </w:tr>
      <w:tr>
        <w:tc>
          <w:tcPr>
            <w:tcW w:type="dxa" w:w="1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</w:t>
            </w:r>
          </w:p>
        </w:tc>
        <w:tc>
          <w:tcPr>
            <w:tcW w:type="dxa" w:w="190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6.252</w:t>
            </w:r>
          </w:p>
        </w:tc>
        <w:tc>
          <w:tcPr>
            <w:tcW w:type="dxa" w:w="190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422</w:t>
            </w:r>
          </w:p>
        </w:tc>
        <w:tc>
          <w:tcPr>
            <w:tcW w:type="dxa" w:w="190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494</w:t>
            </w:r>
          </w:p>
        </w:tc>
        <w:tc>
          <w:tcPr>
            <w:tcW w:type="dxa" w:w="190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6,75%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Nov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6.209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444</w:t>
            </w:r>
          </w:p>
        </w:tc>
        <w:tc>
          <w:tcPr>
            <w:tcW w:type="dxa" w:w="1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498</w:t>
            </w:r>
          </w:p>
        </w:tc>
        <w:tc>
          <w:tcPr>
            <w:tcW w:type="dxa" w:w="19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7,15%</w:t>
            </w:r>
          </w:p>
        </w:tc>
      </w:tr>
      <w:tr>
        <w:tc>
          <w:tcPr>
            <w:tcW w:type="dxa" w:w="1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Dez</w:t>
            </w:r>
          </w:p>
        </w:tc>
        <w:tc>
          <w:tcPr>
            <w:tcW w:type="dxa" w:w="190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6.788</w:t>
            </w:r>
          </w:p>
        </w:tc>
        <w:tc>
          <w:tcPr>
            <w:tcW w:type="dxa" w:w="190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480</w:t>
            </w:r>
          </w:p>
        </w:tc>
        <w:tc>
          <w:tcPr>
            <w:tcW w:type="dxa" w:w="190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572</w:t>
            </w:r>
          </w:p>
        </w:tc>
        <w:tc>
          <w:tcPr>
            <w:tcW w:type="dxa" w:w="1908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7,07%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62625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 xml:space="preserve">Gráfico 2 — Acidentes por mês (esquerda) e % de fatalidade por mês (direita), com a taxa média nacional tracejada.</w:t>
      </w:r>
    </w:p>
    <w:p>
      <w:pPr>
        <w:spacing w:after="200"/>
      </w:pPr>
    </w:p>
    <w:p>
      <w:pPr>
        <w:pStyle w:val="Heading2"/>
        <w:spacing w:after="120" w:before="240"/>
      </w:pPr>
      <w:r>
        <w:t xml:space="preserve">4.2 Por turno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6"/>
        <w:gridCol w:w="2100"/>
        <w:gridCol w:w="2100"/>
        <w:gridCol w:w="2100"/>
      </w:tblGrid>
      <w:tr>
        <w:trPr>
          <w:tblHeader/>
        </w:trPr>
        <w:tc>
          <w:tcPr>
            <w:tcW w:type="dxa" w:w="27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Turno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Registros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Eventos-alvo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Alvo</w:t>
            </w:r>
          </w:p>
        </w:tc>
      </w:tr>
      <w:tr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Madrugada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8.907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1.078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12,10%</w:t>
            </w:r>
          </w:p>
        </w:tc>
      </w:tr>
      <w:tr>
        <w:tc>
          <w:tcPr>
            <w:tcW w:type="dxa" w:w="27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Manhã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20.859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1.029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4,93%</w:t>
            </w:r>
          </w:p>
        </w:tc>
      </w:tr>
      <w:tr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Tarde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22.302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1.234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5,53%</w:t>
            </w:r>
          </w:p>
        </w:tc>
      </w:tr>
      <w:tr>
        <w:tc>
          <w:tcPr>
            <w:tcW w:type="dxa" w:w="27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Noite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20.461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1.869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9,13%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DCE6F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Leitura</w:t>
            </w:r>
          </w:p>
          <w:p>
            <w:r>
              <w:rPr>
                <w:sz w:val="20"/>
                <w:szCs w:val="20"/>
              </w:rPr>
              <w:t xml:space="preserve">A madrugada concentra bem menos acidentes em volume (8.907, o menor turno) mas tem a maior letalidade de todas: 12,10%, mais que o dobro da manhã (4,93%) e da tarde (5,53%) — coerente com menor visibilidade, maiores velocidades médias e maior chance de fadiga ao volante.</w:t>
            </w:r>
          </w:p>
        </w:tc>
      </w:tr>
    </w:tbl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Comparando volume e letalidade por turno, fica claro que os dois seguem lógicas distintas: tarde e manhã concentram o maior volume de acidentes (juntas, mais de 43 mil registros), mas madrugada e noite concentram a maior letalidade.</w:t>
      </w:r>
    </w:p>
    <w:p>
      <w:pPr>
        <w:spacing w:after="60" w:before="120"/>
        <w:jc w:val="center"/>
      </w:pPr>
      <w:r>
        <w:drawing>
          <wp:inline distT="0" distB="0" distL="0" distR="0">
            <wp:extent cx="5762625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 xml:space="preserve">Gráfico 3 — Acidentes por turno (esquerda) e % de fatalidade por turno (direita), com a taxa média nacional tracejada.</w:t>
      </w:r>
    </w:p>
    <w:p>
      <w:pPr>
        <w:pStyle w:val="Heading1"/>
        <w:spacing w:after="160" w:before="320"/>
      </w:pPr>
      <w:r>
        <w:t xml:space="preserve">5. Análise bivariada — o que mais se associa ao indicador-alvo</w:t>
      </w:r>
    </w:p>
    <w:p>
      <w:pPr>
        <w:pStyle w:val="Heading2"/>
        <w:spacing w:after="120" w:before="240"/>
      </w:pPr>
      <w:r>
        <w:t xml:space="preserve">5.1 Tipo de acidente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Este é um dos achados mais fortes da base: a categoria mais frequente (</w:t>
      </w:r>
      <w:r>
        <w:rPr>
          <w:b/>
          <w:bCs/>
          <w:i w:val="false"/>
          <w:iCs w:val="false"/>
          <w:sz w:val="21"/>
          <w:szCs w:val="21"/>
        </w:rPr>
        <w:t xml:space="preserve">colisão traseira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, 14.360 casos) tem proporção de alvo de apenas </w:t>
      </w:r>
      <w:r>
        <w:rPr>
          <w:b/>
          <w:bCs/>
          <w:i w:val="false"/>
          <w:iCs w:val="false"/>
          <w:sz w:val="21"/>
          <w:szCs w:val="21"/>
        </w:rPr>
        <w:t xml:space="preserve">4,31%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, enquanto colisão frontal e atropelamento de pedestre chegam a ser </w:t>
      </w:r>
      <w:r>
        <w:rPr>
          <w:b/>
          <w:bCs/>
          <w:i w:val="false"/>
          <w:iCs w:val="false"/>
          <w:sz w:val="21"/>
          <w:szCs w:val="21"/>
        </w:rPr>
        <w:t xml:space="preserve">mais de 4 vezes mais associadas ao alvo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 que a taxa global (29,5% vs. 7,18%).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1500"/>
        <w:gridCol w:w="1200"/>
        <w:gridCol w:w="1400"/>
        <w:gridCol w:w="1400"/>
        <w:gridCol w:w="1300"/>
      </w:tblGrid>
      <w:tr>
        <w:trPr>
          <w:tblHeader/>
        </w:trPr>
        <w:tc>
          <w:tcPr>
            <w:tcW w:type="dxa" w:w="22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de Acidente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Pessoas Envolvidas</w:t>
            </w:r>
          </w:p>
        </w:tc>
        <w:tc>
          <w:tcPr>
            <w:tcW w:type="dxa" w:w="1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Mortos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Feridos Graves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Feridos Leves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Ilesos</w:t>
            </w:r>
          </w:p>
        </w:tc>
      </w:tr>
      <w:tr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Colisão traseira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44.484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1,5%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8,0%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28,8%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50,7%</w:t>
            </w:r>
          </w:p>
        </w:tc>
      </w:tr>
      <w:tr>
        <w:tc>
          <w:tcPr>
            <w:tcW w:type="dxa" w:w="22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Saída de leito carroçável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19.959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3,5%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11,6%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46,7%</w:t>
            </w:r>
          </w:p>
        </w:tc>
        <w:tc>
          <w:tcPr>
            <w:tcW w:type="dxa" w:w="13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25,4%</w:t>
            </w:r>
          </w:p>
        </w:tc>
      </w:tr>
      <w:tr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Colisão transversal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26.604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1,8%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12,1%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33,0%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45,0%</w:t>
            </w:r>
          </w:p>
        </w:tc>
      </w:tr>
      <w:tr>
        <w:tc>
          <w:tcPr>
            <w:tcW w:type="dxa" w:w="22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Colisão lateral mesmo sentido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22.450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1,0%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7,1%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32,2%</w:t>
            </w:r>
          </w:p>
        </w:tc>
        <w:tc>
          <w:tcPr>
            <w:tcW w:type="dxa" w:w="13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47,3%</w:t>
            </w:r>
          </w:p>
        </w:tc>
      </w:tr>
      <w:tr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Tombamento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11.010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2,7%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12,4%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53,4%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13,5%</w:t>
            </w:r>
          </w:p>
        </w:tc>
      </w:tr>
      <w:tr>
        <w:tc>
          <w:tcPr>
            <w:tcW w:type="dxa" w:w="22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Colisão com objeto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9.734</w:t>
            </w:r>
          </w:p>
        </w:tc>
        <w:tc>
          <w:tcPr>
            <w:tcW w:type="dxa" w:w="1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3,3%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10,6%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40,3%</w:t>
            </w:r>
          </w:p>
        </w:tc>
        <w:tc>
          <w:tcPr>
            <w:tcW w:type="dxa" w:w="13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32,3%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9436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 xml:space="preserve">Gráfico 4 — composição do desfecho (ilesos, feridos leves, feridos graves, mortos) entre as pessoas envolvidas, nos 6 tipos de acidente mais frequentes.</w:t>
      </w:r>
    </w:p>
    <w:p>
      <w:pPr>
        <w:spacing w:after="200"/>
      </w:pPr>
    </w:p>
    <w:p>
      <w:pPr>
        <w:pStyle w:val="Heading2"/>
        <w:spacing w:after="120" w:before="240"/>
      </w:pPr>
      <w:r>
        <w:t xml:space="preserve">5.2 Causa do acidente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Aplicando um filtro mínimo de 100 registros por causa (para evitar destacar percentuais instáveis de categorias raras), as causas mais associadas a desfecho fatal são majoritariamente comportamentos de risco direto e envolvimento de pedestres: transitar na contramão (29,74%), ultrapassagem indevida (17,06%) e velocidade incompatível (9,42%) — todas muito acima da taxa global de 7,18%. Em contraste, a causa mais frequente em volume, ausência de reação do condutor (11.469 casos), tem letalidade de 6,79%, próxima da média.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800"/>
        <w:gridCol w:w="1800"/>
        <w:gridCol w:w="1800"/>
      </w:tblGrid>
      <w:tr>
        <w:trPr>
          <w:tblHeader/>
        </w:trPr>
        <w:tc>
          <w:tcPr>
            <w:tcW w:type="dxa" w:w="36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 (mín. 100 registros)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Registros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Eventos-alvo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Alvo</w:t>
            </w: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Suicídio (presumido)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55,79%</w:t>
            </w:r>
          </w:p>
        </w:tc>
      </w:tr>
      <w:tr>
        <w:tc>
          <w:tcPr>
            <w:tcW w:type="dxa" w:w="36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Pedestre andava na pista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606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250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41,25%</w:t>
            </w: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Entrada inopinada do pedestre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667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30,43%</w:t>
            </w:r>
          </w:p>
        </w:tc>
      </w:tr>
      <w:tr>
        <w:tc>
          <w:tcPr>
            <w:tcW w:type="dxa" w:w="36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Transitar na contramão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2.475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736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29,74%</w:t>
            </w: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Pedestre cruzava a pista fora da faixa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525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24,76%</w:t>
            </w:r>
          </w:p>
        </w:tc>
      </w:tr>
      <w:tr>
        <w:tc>
          <w:tcPr>
            <w:tcW w:type="dxa" w:w="36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Ultrapassagem indevida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1.770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302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17,06%</w:t>
            </w: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Iluminação deficiente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14,65%</w:t>
            </w:r>
          </w:p>
        </w:tc>
      </w:tr>
      <w:tr>
        <w:tc>
          <w:tcPr>
            <w:tcW w:type="dxa" w:w="36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Mal súbito do condutor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546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73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13,37%</w:t>
            </w: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Transitar no acostamento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498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13,05%</w:t>
            </w:r>
          </w:p>
        </w:tc>
      </w:tr>
      <w:tr>
        <w:tc>
          <w:tcPr>
            <w:tcW w:type="dxa" w:w="36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Velocidade incompatível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4.088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385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9,42%</w:t>
            </w:r>
          </w:p>
        </w:tc>
      </w:tr>
      <w:tr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Condutor dormindo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2.116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6,38%</w:t>
            </w:r>
          </w:p>
        </w:tc>
      </w:tr>
      <w:tr>
        <w:tc>
          <w:tcPr>
            <w:tcW w:type="dxa" w:w="36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Ingestão de álcool pelo condutor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3.685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180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4,88%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BEA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Cautela metodológica</w:t>
            </w:r>
          </w:p>
          <w:p>
            <w:r>
              <w:rPr>
                <w:sz w:val="20"/>
                <w:szCs w:val="20"/>
              </w:rPr>
              <w:t xml:space="preserve">A categoria “suicídio (presumido)” aparece no topo por definição, mas tem volume baixo (190 casos) e é uma classificação de intenção feita pelo agente no momento do registro — sujeita a interpretação. Ela foi mantida na tabela por integridade dos dados oficiais da PRF, mas não deve ser lida como um padrão de risco viário comparável às demais causas comportamentais.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62625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 xml:space="preserve">Gráfico 5 — causas com maior % de fatalidade entre as que têm ao menos 100 registros, com a taxa média nacional tracejada.</w:t>
      </w:r>
    </w:p>
    <w:p>
      <w:pPr>
        <w:spacing w:after="200"/>
      </w:pPr>
    </w:p>
    <w:p>
      <w:pPr>
        <w:pStyle w:val="Heading2"/>
        <w:spacing w:after="120" w:before="240"/>
      </w:pPr>
      <w:r>
        <w:t xml:space="preserve">5.3 Condição meteorológica e turno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Comente diferenças entre volume e letalidade neste recorte: o padrão mais robusto em volume é céu claro, que concentra a maioria dos registros (46.375, cerca de 64% da base) com letalidade de 7,37%, próxima da média. Condições mais raras, como nevoeiro/neblina (553 casos, menos de 1% da base), sobem para 10,85% de letalidade — mas o volume pequeno pede cautela na generalização.</w:t>
      </w:r>
    </w:p>
    <w:p>
      <w:pPr>
        <w:spacing w:after="80"/>
        <w:jc w:val="both"/>
      </w:pPr>
      <w:r>
        <w:rPr>
          <w:b/>
          <w:bCs/>
          <w:i w:val="false"/>
          <w:iCs w:val="false"/>
          <w:sz w:val="21"/>
          <w:szCs w:val="21"/>
        </w:rPr>
        <w:t xml:space="preserve">Condição meteorológica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6"/>
        <w:gridCol w:w="2100"/>
        <w:gridCol w:w="2100"/>
        <w:gridCol w:w="2100"/>
      </w:tblGrid>
      <w:tr>
        <w:trPr>
          <w:tblHeader/>
        </w:trPr>
        <w:tc>
          <w:tcPr>
            <w:tcW w:type="dxa" w:w="27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Condição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Registros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Eventos-alvo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Alvo</w:t>
            </w:r>
          </w:p>
        </w:tc>
      </w:tr>
      <w:tr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Nevoeiro/Neblina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553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10,85%</w:t>
            </w:r>
          </w:p>
        </w:tc>
      </w:tr>
      <w:tr>
        <w:tc>
          <w:tcPr>
            <w:tcW w:type="dxa" w:w="27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Ignorado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1.000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99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9,90%</w:t>
            </w:r>
          </w:p>
        </w:tc>
      </w:tr>
      <w:tr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Vento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8,65%</w:t>
            </w:r>
          </w:p>
        </w:tc>
      </w:tr>
      <w:tr>
        <w:tc>
          <w:tcPr>
            <w:tcW w:type="dxa" w:w="27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Céu Claro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46.375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3.419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7,37%</w:t>
            </w:r>
          </w:p>
        </w:tc>
      </w:tr>
      <w:tr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Nublado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11.435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830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7,26%</w:t>
            </w:r>
          </w:p>
        </w:tc>
      </w:tr>
      <w:tr>
        <w:tc>
          <w:tcPr>
            <w:tcW w:type="dxa" w:w="27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Chuva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6.438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402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6,24%</w:t>
            </w:r>
          </w:p>
        </w:tc>
      </w:tr>
      <w:tr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Garoa/Chuvisco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2.422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5,95%</w:t>
            </w:r>
          </w:p>
        </w:tc>
      </w:tr>
      <w:tr>
        <w:tc>
          <w:tcPr>
            <w:tcW w:type="dxa" w:w="27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Sol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4.201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247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5,88%</w:t>
            </w:r>
          </w:p>
        </w:tc>
      </w:tr>
    </w:tbl>
    <w:p>
      <w:pPr>
        <w:spacing w:after="120"/>
      </w:pPr>
    </w:p>
    <w:p>
      <w:pPr>
        <w:spacing w:after="80"/>
        <w:jc w:val="both"/>
      </w:pPr>
      <w:r>
        <w:rPr>
          <w:b/>
          <w:bCs/>
          <w:i w:val="false"/>
          <w:iCs w:val="false"/>
          <w:sz w:val="21"/>
          <w:szCs w:val="21"/>
        </w:rPr>
        <w:t xml:space="preserve">Turno (ver também seção 4.2)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6"/>
        <w:gridCol w:w="2100"/>
        <w:gridCol w:w="2100"/>
        <w:gridCol w:w="2100"/>
      </w:tblGrid>
      <w:tr>
        <w:trPr>
          <w:tblHeader/>
        </w:trPr>
        <w:tc>
          <w:tcPr>
            <w:tcW w:type="dxa" w:w="27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Turno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Registros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Eventos-alvo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Alvo</w:t>
            </w:r>
          </w:p>
        </w:tc>
      </w:tr>
      <w:tr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Madrugada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8.907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1.078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12,10%</w:t>
            </w:r>
          </w:p>
        </w:tc>
      </w:tr>
      <w:tr>
        <w:tc>
          <w:tcPr>
            <w:tcW w:type="dxa" w:w="27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Manhã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20.859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1.029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4,93%</w:t>
            </w:r>
          </w:p>
        </w:tc>
      </w:tr>
      <w:tr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Tarde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22.302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1.234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5,53%</w:t>
            </w:r>
          </w:p>
        </w:tc>
      </w:tr>
      <w:tr>
        <w:tc>
          <w:tcPr>
            <w:tcW w:type="dxa" w:w="27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Noite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20.461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1.869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9,13%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62625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 xml:space="preserve">Gráfico 6 — % de fatalidade por condição meteorológica (esquerda) e por turno (direita), com a taxa média nacional tracejada.</w:t>
      </w:r>
    </w:p>
    <w:p>
      <w:pPr>
        <w:spacing w:after="200"/>
      </w:pPr>
    </w:p>
    <w:p>
      <w:pPr>
        <w:pStyle w:val="Heading2"/>
        <w:spacing w:after="120" w:before="240"/>
      </w:pPr>
      <w:r>
        <w:t xml:space="preserve">5.4 Tipo de pista e uso do solo</w:t>
      </w:r>
    </w:p>
    <w:p>
      <w:pPr>
        <w:spacing w:after="80"/>
        <w:jc w:val="both"/>
      </w:pPr>
      <w:r>
        <w:rPr>
          <w:b/>
          <w:bCs/>
          <w:i w:val="false"/>
          <w:iCs w:val="false"/>
          <w:sz w:val="21"/>
          <w:szCs w:val="21"/>
        </w:rPr>
        <w:t xml:space="preserve">Tipo de pista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6"/>
        <w:gridCol w:w="2100"/>
        <w:gridCol w:w="2100"/>
        <w:gridCol w:w="2100"/>
      </w:tblGrid>
      <w:tr>
        <w:trPr>
          <w:tblHeader/>
        </w:trPr>
        <w:tc>
          <w:tcPr>
            <w:tcW w:type="dxa" w:w="27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de Pista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Registros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Eventos-alvo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Alvo</w:t>
            </w:r>
          </w:p>
        </w:tc>
      </w:tr>
      <w:tr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34.733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3.424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9,86%</w:t>
            </w:r>
          </w:p>
        </w:tc>
      </w:tr>
      <w:tr>
        <w:tc>
          <w:tcPr>
            <w:tcW w:type="dxa" w:w="27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Dupla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30.782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1.501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4,88%</w:t>
            </w:r>
          </w:p>
        </w:tc>
      </w:tr>
      <w:tr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Múltipla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7.014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4,06%</w:t>
            </w:r>
          </w:p>
        </w:tc>
      </w:tr>
    </w:tbl>
    <w:p>
      <w:pPr>
        <w:spacing w:after="120"/>
      </w:pPr>
    </w:p>
    <w:p>
      <w:pPr>
        <w:spacing w:after="80"/>
        <w:jc w:val="both"/>
      </w:pPr>
      <w:r>
        <w:rPr>
          <w:b/>
          <w:bCs/>
          <w:i w:val="false"/>
          <w:iCs w:val="false"/>
          <w:sz w:val="21"/>
          <w:szCs w:val="21"/>
        </w:rPr>
        <w:t xml:space="preserve">Uso do solo (binária)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6"/>
        <w:gridCol w:w="2100"/>
        <w:gridCol w:w="2100"/>
        <w:gridCol w:w="2100"/>
      </w:tblGrid>
      <w:tr>
        <w:trPr>
          <w:tblHeader/>
        </w:trPr>
        <w:tc>
          <w:tcPr>
            <w:tcW w:type="dxa" w:w="27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 do Solo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Registros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Eventos-alvo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Alvo</w:t>
            </w:r>
          </w:p>
        </w:tc>
      </w:tr>
      <w:tr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 (rural)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41.444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3.774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9,11%</w:t>
            </w:r>
          </w:p>
        </w:tc>
      </w:tr>
      <w:tr>
        <w:tc>
          <w:tcPr>
            <w:tcW w:type="dxa" w:w="27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 (urbano)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31.085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1.436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4,62%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DCE6F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Achados mais acionáveis do relatório</w:t>
            </w:r>
          </w:p>
          <w:p>
            <w:r>
              <w:rPr>
                <w:sz w:val="20"/>
                <w:szCs w:val="20"/>
              </w:rPr>
              <w:t xml:space="preserve">Pista simples tem % de fatalidade mais que o dobro da pista dupla (9,86% vs. 4,88%) — hipótese plausível: pistas simples não têm separação física entre sentidos, favorecendo colisões frontais, o tipo de acidente mais letal da base. Da mesma forma, acidentes fora de área urbana (uso_solo = NÃO) têm quase o dobro da letalidade dos acidentes em área urbana (9,11% vs. 4,62%), possivelmente por velocidades mais altas e maior tempo de resposta de socorro em trechos rurais.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60388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 xml:space="preserve">Gráfico 7 — % de fatalidade cruzando tipo de pista e fase do dia. A combinação mais letal é pista simples ao amanhecer (14,64%); as menos letais são pista dupla ou múltipla em pleno dia (cerca de 3%).</w:t>
      </w:r>
    </w:p>
    <w:p>
      <w:pPr>
        <w:pStyle w:val="Heading1"/>
        <w:spacing w:after="160" w:before="320"/>
      </w:pPr>
      <w:r>
        <w:t xml:space="preserve">6. Combinações de fatores e correlação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Cruzando tipo de pista com fase do dia (com mínimo de 50 registros por combinação, para estabilidade), a combinação mais associada ao alvo é: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1500"/>
        <w:gridCol w:w="2326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de Pista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 do Dia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Registros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Alvo</w:t>
            </w:r>
          </w:p>
        </w:tc>
        <w:tc>
          <w:tcPr>
            <w:tcW w:type="dxa" w:w="23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Cobertura (%)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Pleno dia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18.765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7,32%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25,87%</w:t>
            </w:r>
          </w:p>
        </w:tc>
      </w:tr>
      <w:tr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Dupla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Pleno dia</w:t>
            </w:r>
          </w:p>
        </w:tc>
        <w:tc>
          <w:tcPr>
            <w:tcW w:type="dxa" w:w="1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17.585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3,17%</w:t>
            </w:r>
          </w:p>
        </w:tc>
        <w:tc>
          <w:tcPr>
            <w:tcW w:type="dxa" w:w="23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24,25%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Plena noite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12.244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13,15%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16,88%</w:t>
            </w:r>
          </w:p>
        </w:tc>
      </w:tr>
      <w:tr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Dupla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Plena noite</w:t>
            </w:r>
          </w:p>
        </w:tc>
        <w:tc>
          <w:tcPr>
            <w:tcW w:type="dxa" w:w="1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10.181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7,62%</w:t>
            </w:r>
          </w:p>
        </w:tc>
        <w:tc>
          <w:tcPr>
            <w:tcW w:type="dxa" w:w="23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14,04%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Múltipla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Pleno dia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4.025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2,91%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5,55%</w:t>
            </w:r>
          </w:p>
        </w:tc>
      </w:tr>
      <w:tr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Múltipla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Plena noite</w:t>
            </w:r>
          </w:p>
        </w:tc>
        <w:tc>
          <w:tcPr>
            <w:tcW w:type="dxa" w:w="1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2.356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5,77%</w:t>
            </w:r>
          </w:p>
        </w:tc>
        <w:tc>
          <w:tcPr>
            <w:tcW w:type="dxa" w:w="23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3,25%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Anoitecer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1.921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9,16%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2,65%</w:t>
            </w:r>
          </w:p>
        </w:tc>
      </w:tr>
      <w:tr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Simples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Amanhecer</w:t>
            </w:r>
          </w:p>
        </w:tc>
        <w:tc>
          <w:tcPr>
            <w:tcW w:type="dxa" w:w="1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1.803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14,64%</w:t>
            </w:r>
          </w:p>
        </w:tc>
        <w:tc>
          <w:tcPr>
            <w:tcW w:type="dxa" w:w="23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2,49%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Dupla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Anoitecer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1.642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3,84%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2,26%</w:t>
            </w:r>
          </w:p>
        </w:tc>
      </w:tr>
      <w:tr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Dupla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Amanhecer</w:t>
            </w:r>
          </w:p>
        </w:tc>
        <w:tc>
          <w:tcPr>
            <w:tcW w:type="dxa" w:w="1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1.374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7,57%</w:t>
            </w:r>
          </w:p>
        </w:tc>
        <w:tc>
          <w:tcPr>
            <w:tcW w:type="dxa" w:w="23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1,89%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Múltipla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Anoitecer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363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3,86%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0,50%</w:t>
            </w:r>
          </w:p>
        </w:tc>
      </w:tr>
      <w:tr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Múltipla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Amanhecer</w:t>
            </w:r>
          </w:p>
        </w:tc>
        <w:tc>
          <w:tcPr>
            <w:tcW w:type="dxa" w:w="1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270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6,67%</w:t>
            </w:r>
          </w:p>
        </w:tc>
        <w:tc>
          <w:tcPr>
            <w:tcW w:type="dxa" w:w="23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0,37%</w:t>
            </w:r>
          </w:p>
        </w:tc>
      </w:tr>
    </w:tbl>
    <w:p>
      <w:pPr>
        <w:spacing w:after="160"/>
      </w:pP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Repetindo o cruzamento para as quatro causas comportamentais mais fatais (seção 5.2) contra o tipo de pista: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900"/>
        <w:gridCol w:w="1926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de Pista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Registros</w:t>
            </w:r>
          </w:p>
        </w:tc>
        <w:tc>
          <w:tcPr>
            <w:tcW w:type="dxa" w:w="19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Alvo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Condutor dormindo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1.079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8,53%</w:t>
            </w:r>
          </w:p>
        </w:tc>
      </w:tr>
      <w:tr>
        <w:tc>
          <w:tcPr>
            <w:tcW w:type="dxa" w:w="3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Condutor dormindo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Dupla</w:t>
            </w:r>
          </w:p>
        </w:tc>
        <w:tc>
          <w:tcPr>
            <w:tcW w:type="dxa" w:w="1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952</w:t>
            </w:r>
          </w:p>
        </w:tc>
        <w:tc>
          <w:tcPr>
            <w:tcW w:type="dxa" w:w="19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4,31%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Condutor dormindo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Múltipla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85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2,35%</w:t>
            </w:r>
          </w:p>
        </w:tc>
      </w:tr>
      <w:tr>
        <w:tc>
          <w:tcPr>
            <w:tcW w:type="dxa" w:w="3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Ingestão de álcool pelo condutor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Simples</w:t>
            </w:r>
          </w:p>
        </w:tc>
        <w:tc>
          <w:tcPr>
            <w:tcW w:type="dxa" w:w="1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1.965</w:t>
            </w:r>
          </w:p>
        </w:tc>
        <w:tc>
          <w:tcPr>
            <w:tcW w:type="dxa" w:w="19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6,41%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Ingestão de álcool pelo condutor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Dupla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1.422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3,23%</w:t>
            </w:r>
          </w:p>
        </w:tc>
      </w:tr>
      <w:tr>
        <w:tc>
          <w:tcPr>
            <w:tcW w:type="dxa" w:w="3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Ingestão de álcool pelo condutor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Múltipla</w:t>
            </w:r>
          </w:p>
        </w:tc>
        <w:tc>
          <w:tcPr>
            <w:tcW w:type="dxa" w:w="1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298</w:t>
            </w:r>
          </w:p>
        </w:tc>
        <w:tc>
          <w:tcPr>
            <w:tcW w:type="dxa" w:w="19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2,68%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Ultrapassagem indevida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1.529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18,31%</w:t>
            </w:r>
          </w:p>
        </w:tc>
      </w:tr>
      <w:tr>
        <w:tc>
          <w:tcPr>
            <w:tcW w:type="dxa" w:w="3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Ultrapassagem indevida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Múltipla</w:t>
            </w:r>
          </w:p>
        </w:tc>
        <w:tc>
          <w:tcPr>
            <w:tcW w:type="dxa" w:w="1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58</w:t>
            </w:r>
          </w:p>
        </w:tc>
        <w:tc>
          <w:tcPr>
            <w:tcW w:type="dxa" w:w="19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15,52%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Ultrapassagem indevida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Dupla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183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7,10%</w:t>
            </w:r>
          </w:p>
        </w:tc>
      </w:tr>
      <w:tr>
        <w:tc>
          <w:tcPr>
            <w:tcW w:type="dxa" w:w="3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Velocidade incompatível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Simples</w:t>
            </w:r>
          </w:p>
        </w:tc>
        <w:tc>
          <w:tcPr>
            <w:tcW w:type="dxa" w:w="1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2.044</w:t>
            </w:r>
          </w:p>
        </w:tc>
        <w:tc>
          <w:tcPr>
            <w:tcW w:type="dxa" w:w="19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11,99%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Velocidade incompatível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Múltipla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248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9,27%</w:t>
            </w:r>
          </w:p>
        </w:tc>
      </w:tr>
      <w:tr>
        <w:tc>
          <w:tcPr>
            <w:tcW w:type="dxa" w:w="3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Velocidade incompatível</w:t>
            </w:r>
          </w:p>
        </w:tc>
        <w:tc>
          <w:tcPr>
            <w:tcW w:type="dxa" w:w="1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Dupla</w:t>
            </w:r>
          </w:p>
        </w:tc>
        <w:tc>
          <w:tcPr>
            <w:tcW w:type="dxa" w:w="1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1.796</w:t>
            </w:r>
          </w:p>
        </w:tc>
        <w:tc>
          <w:tcPr>
            <w:tcW w:type="dxa" w:w="19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6,51%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combinação pista simples + amanhecer concentra a maior letalidade entre as combinações analisadas (14,64%), com cobertura de apenas 2,49% da base — um recorte pequeno, mas consistente com o padrão observado isoladamente em cada variável (seções 4.2, 5.3 e 5.4). Cruzando as quatro causas comportamentais mais fatais com o tipo de pista, fica claro que pista simples piora a letalidade de praticamente todas elas: ultrapassagem indevida em pista simples chega a 18,31% de fatalidade, contra 7,10% em pista dupla.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Variável</w:t>
            </w:r>
          </w:p>
        </w:tc>
        <w:tc>
          <w:tcPr>
            <w:tcW w:type="dxa" w:w="45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Correlação com acidente_fatal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indice_gravidade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0,44</w:t>
            </w:r>
          </w:p>
        </w:tc>
      </w:tr>
      <w:tr>
        <w:tc>
          <w:tcPr>
            <w:tcW w:type="dxa" w:w="4513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total_vitimas</w:t>
            </w:r>
          </w:p>
        </w:tc>
        <w:tc>
          <w:tcPr>
            <w:tcW w:type="dxa" w:w="4513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0,16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veiculos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0,13</w:t>
            </w:r>
          </w:p>
        </w:tc>
      </w:tr>
      <w:tr>
        <w:tc>
          <w:tcPr>
            <w:tcW w:type="dxa" w:w="4513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pessoas</w:t>
            </w:r>
          </w:p>
        </w:tc>
        <w:tc>
          <w:tcPr>
            <w:tcW w:type="dxa" w:w="4513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0,11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fim_de_semana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0,04</w:t>
            </w:r>
          </w:p>
        </w:tc>
      </w:tr>
      <w:tr>
        <w:tc>
          <w:tcPr>
            <w:tcW w:type="dxa" w:w="4513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feridos_graves</w:t>
            </w:r>
          </w:p>
        </w:tc>
        <w:tc>
          <w:tcPr>
            <w:tcW w:type="dxa" w:w="4513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0,03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km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0,02</w:t>
            </w:r>
          </w:p>
        </w:tc>
      </w:tr>
      <w:tr>
        <w:tc>
          <w:tcPr>
            <w:tcW w:type="dxa" w:w="4513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hora</w:t>
            </w:r>
          </w:p>
        </w:tc>
        <w:tc>
          <w:tcPr>
            <w:tcW w:type="dxa" w:w="4513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0,00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feridos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-0,10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603885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 xml:space="preserve">Gráfico 8 — matriz de correlação de Pearson entre variáveis numéricas e o indicador-alvo.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matriz confirma um ponto metodológico importante: indice_gravidade (0,44) e total_vitimas (0,16) têm correlação alta com acidente_fatal porque são, por definição, calculadas a partir de mortos — por isso essas variáveis foram excluídas da base modelável do Módulo 4, evitando vazamento de dado (data leakage). Entre as variáveis realmente independentes, veiculos (0,13) e pessoas (0,11) têm a correlação mais forte com o alvo, ainda assim fraca — reforçando que nenhuma variável numérica isolada explica bem a fatalidade; o padrão está nas combinações categóricas exploradas ao longo deste relatório.</w:t>
      </w:r>
    </w:p>
    <w:p>
      <w:pPr>
        <w:pStyle w:val="Heading1"/>
        <w:spacing w:after="160" w:before="320"/>
      </w:pPr>
      <w:r>
        <w:t xml:space="preserve">7. Síntese, hipóteses e limitações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26"/>
        <w:gridCol w:w="2600"/>
        <w:gridCol w:w="240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19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Hipótese (a investigar)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Limitação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Colisão frontal e atropelamento de pedestre são muito mais letais que a média, apesar do menor volume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29,5% vs. 7,18% (4,1x a taxa global)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Maior energia de impacto (frontal) e ausência de proteção estrutural (pedestre)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 há dado de velocidade real no momento do impacto</w:t>
            </w:r>
          </w:p>
        </w:tc>
      </w:tr>
      <w:tr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Pista simples tem letalidade mais que o dobro da pista dupla</w:t>
            </w:r>
          </w:p>
        </w:tc>
        <w:tc>
          <w:tcPr>
            <w:tcW w:type="dxa" w:w="19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9,86% vs. 4,88%</w:t>
            </w:r>
          </w:p>
        </w:tc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Ausência de separação física entre sentidos favorece colisão frontal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 dado de extensão/km de cada tipo de pista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Madrugada tem a maior letalidade entre os turnos, apesar do menor volume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12,10% vs. 4,93% (manhã)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Menor visibilidade, maior velocidade média e fadiga do condutor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 há dado de velocidade praticada nem de fluxo de tráfego por turno</w:t>
            </w:r>
          </w:p>
        </w:tc>
      </w:tr>
      <w:tr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UF e BR de menor volume concentram as maiores letalidades do país</w:t>
            </w:r>
          </w:p>
        </w:tc>
        <w:tc>
          <w:tcPr>
            <w:tcW w:type="dxa" w:w="19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Maranhão 18,70% vs. média 7,18%</w:t>
            </w:r>
          </w:p>
        </w:tc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Infraestrutura local e tempo de resposta médica podem variar por estado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UF/BR com poucos acidentes têm percentuais mais instáveis</w:t>
            </w:r>
          </w:p>
        </w:tc>
      </w:tr>
    </w:tbl>
    <w:p>
      <w:pPr>
        <w:spacing w:after="200"/>
      </w:pPr>
    </w:p>
    <w:p>
      <w:pPr>
        <w:pStyle w:val="Heading3"/>
        <w:spacing w:after="80" w:before="120"/>
      </w:pPr>
      <w:r>
        <w:t xml:space="preserve">Erros a evitar na leitura deste relatório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Confundir volume com proporção do indicador-alvo (o grupo com mais registros nem sempre é o mais associado ao alvo).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Tratar percentuais de categorias com poucos registros como conclusão robusta — sempre olhar o volume junto.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Tratar correlação como causalidade, especialmente entre variáveis que compõem, por definição, o próprio alvo (indice_gravidade, total_vitimas).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Generalizar um achado de um subgrupo, causa ou horário para o total sem checar se ele se repete em outros recortes.</w:t>
      </w:r>
    </w:p>
    <w:p>
      <w:pPr>
        <w:spacing w:after="120"/>
      </w:pPr>
    </w:p>
    <w:p>
      <w:pPr>
        <w:pStyle w:val="Heading3"/>
        <w:spacing w:after="80" w:before="120"/>
      </w:pPr>
      <w:r>
        <w:t xml:space="preserve">Limitações gerais da base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A base cobre apenas rodovias federais — acidentes em vias estaduais e municipais ficam fora do escopo.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A causa do acidente é um julgamento do agente que atendeu a ocorrência, sujeito a variação entre casos semelhantes (inclui categorias presumidas, como discutido na seção 5.2).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A análise é descritiva/associativa, não uma prova de causalidade, e não deve embasar decisões sozinha.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Tratamentos aplicados no Módulo 4: nulos categóricos preenchidos como “IGNORADO”, nulos de contagem preenchidos com zero — sem alterar a distribuição da variável-alvo.</w:t>
      </w:r>
    </w:p>
    <w:p>
      <w:pPr>
        <w:pStyle w:val="Heading1"/>
        <w:spacing w:after="160" w:before="320"/>
      </w:pPr>
      <w:r>
        <w:t xml:space="preserve">8. EXTRA — Interpretação, hipóteses e limites</w:t>
      </w:r>
    </w:p>
    <w:p>
      <w:pPr>
        <w:spacing w:after="160"/>
        <w:jc w:val="both"/>
      </w:pPr>
      <w:r>
        <w:rPr>
          <w:b w:val="false"/>
          <w:bCs w:val="false"/>
          <w:i/>
          <w:iCs/>
          <w:sz w:val="21"/>
          <w:szCs w:val="21"/>
        </w:rPr>
        <w:t xml:space="preserve">Cada achado relevante segue o modelo: Achado → Evidência → Comparação com a taxa global → Hipótese → Limitação.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900"/>
        <w:gridCol w:w="1400"/>
        <w:gridCol w:w="1300"/>
        <w:gridCol w:w="1900"/>
        <w:gridCol w:w="2126"/>
      </w:tblGrid>
      <w:tr>
        <w:trPr>
          <w:tblHeader/>
        </w:trPr>
        <w:tc>
          <w:tcPr>
            <w:tcW w:type="dxa" w:w="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Comparação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Hipótese (a investigar)</w:t>
            </w:r>
          </w:p>
        </w:tc>
        <w:tc>
          <w:tcPr>
            <w:tcW w:type="dxa" w:w="21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Limitação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Maranhão, Pará e Roraima têm as maiores letalidades entre as UF, apesar do baixo volume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18,70% / 17,28% / 16,20%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Acima da taxa global (7,18%)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Extensão de trechos de pista simples, tempo de resposta de socorro e fiscalização podem variar por estado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UF com poucos acidentes no total podem ter percentuais instáveis; olhar sempre volume junto</w:t>
            </w:r>
          </w:p>
        </w:tc>
      </w:tr>
      <w:tr>
        <w:tc>
          <w:tcPr>
            <w:tcW w:type="dxa" w:w="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Colisão frontal e atropelamento de pedestre concentram a maior letalidade entre os tipos de acidente</w:t>
            </w:r>
          </w:p>
        </w:tc>
        <w:tc>
          <w:tcPr>
            <w:tcW w:type="dxa" w:w="1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29,46% e 29,51%</w:t>
            </w:r>
          </w:p>
        </w:tc>
        <w:tc>
          <w:tcPr>
            <w:tcW w:type="dxa" w:w="13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~4,1x a taxa global</w:t>
            </w:r>
          </w:p>
        </w:tc>
        <w:tc>
          <w:tcPr>
            <w:tcW w:type="dxa" w:w="1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Colisão frontal envolve maior energia de impacto; atropelamento expõe diretamente o pedestre, sem proteção estrutural</w:t>
            </w:r>
          </w:p>
        </w:tc>
        <w:tc>
          <w:tcPr>
            <w:tcW w:type="dxa" w:w="2126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Classificação de tipo depende do registro do agente; não há dado de velocidade real no momento do impacto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Pista simples tem letalidade mais que o dobro da pista dupla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9,86% vs. 4,88%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~2x de diferença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Ausência de separação física entre sentidos favorece colisão frontal em pista simples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Não há dado de extensão/quilometragem de cada tipo de pista, o que pode confundir volume com risco por km rodado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2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40"/>
    </w:pPr>
    <w:rPr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160"/>
    </w:pPr>
    <w:rPr>
      <w:b/>
      <w:bCs/>
      <w:color w:val="C0392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3af1f63bb2ac399878b443b1f16cebceccb7391.png"/><Relationship Id="rId8" Type="http://schemas.openxmlformats.org/officeDocument/2006/relationships/image" Target="media/4a1dc607f14e32062d16ffa2339539a14900178b.png"/><Relationship Id="rId9" Type="http://schemas.openxmlformats.org/officeDocument/2006/relationships/image" Target="media/5f0c4cfd93c51920ccbeca92f5832686f6a0246b.png"/><Relationship Id="rId10" Type="http://schemas.openxmlformats.org/officeDocument/2006/relationships/image" Target="media/1b09372ddd8c232e0739704b70ea9e4ae1db16ae.png"/><Relationship Id="rId11" Type="http://schemas.openxmlformats.org/officeDocument/2006/relationships/image" Target="media/98fd6ed3f5772bf9adc7ecbca00cb8f08c67dc7d.png"/><Relationship Id="rId12" Type="http://schemas.openxmlformats.org/officeDocument/2006/relationships/image" Target="media/60aaa28416d4bb5f34eec6fa819f23236bd0f838.png"/><Relationship Id="rId13" Type="http://schemas.openxmlformats.org/officeDocument/2006/relationships/image" Target="media/226acf632f9338bb79bbc1e57430261919e58cd0.png"/><Relationship Id="rId14" Type="http://schemas.openxmlformats.org/officeDocument/2006/relationships/image" Target="media/a76da0ae07518a7efd20174569ab64647a1a7ab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2026-09-02T23:06:59.178Z</dcterms:created>
  <dcterms:modified xsi:type="dcterms:W3CDTF">2026-09-02T23:06:59.188Z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