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B57"/>
          <w:sz w:val="44"/>
        </w:rPr>
        <w:t>Passing an FTMO Prop-Firm Challenge with a Systematic Intraday Strategy</w:t>
      </w:r>
    </w:p>
    <w:p>
      <w:pPr>
        <w:jc w:val="center"/>
      </w:pPr>
      <w:r>
        <w:rPr>
          <w:color w:val="2E75B6"/>
          <w:sz w:val="28"/>
        </w:rPr>
        <w:t>Feasibility, Optimal Bet-Sizing, and the Funded-Account Edge</w:t>
      </w:r>
    </w:p>
    <w:p/>
    <w:p>
      <w:pPr>
        <w:spacing w:after="120"/>
        <w:jc w:val="center"/>
      </w:pPr>
      <w:r>
        <w:rPr>
          <w:b/>
          <w:i w:val="0"/>
          <w:color w:val="555555"/>
          <w:sz w:val="26"/>
        </w:rPr>
        <w:t>Quantitative Research Report</w:t>
      </w:r>
    </w:p>
    <w:p/>
    <w:p/>
    <w:p/>
    <w:p/>
    <w:p/>
    <w:p/>
    <w:p>
      <w:pPr>
        <w:spacing w:after="120"/>
        <w:jc w:val="center"/>
      </w:pPr>
      <w:r>
        <w:rPr>
          <w:b w:val="0"/>
          <w:i w:val="0"/>
          <w:sz w:val="21"/>
        </w:rPr>
        <w:t>Prepared for:  Trading / Quant Research Team</w:t>
      </w:r>
    </w:p>
    <w:p>
      <w:pPr>
        <w:spacing w:after="120"/>
        <w:jc w:val="center"/>
      </w:pPr>
      <w:r>
        <w:rPr>
          <w:b w:val="0"/>
          <w:i w:val="0"/>
          <w:color w:val="555555"/>
          <w:sz w:val="21"/>
        </w:rPr>
        <w:t>Date:  June 2026     |     Classification:  Internal / Confidential</w:t>
      </w:r>
    </w:p>
    <w:p>
      <w:pPr>
        <w:spacing w:after="120"/>
        <w:jc w:val="center"/>
      </w:pPr>
      <w:r>
        <w:rPr>
          <w:b w:val="0"/>
          <w:i/>
          <w:color w:val="555555"/>
          <w:sz w:val="19"/>
        </w:rPr>
        <w:t>Universe: FTMO-tradeable instruments (FX, index CFDs, metals, crypto) — intraday M1 &amp; daily, 2010–2026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→ Update Field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60"/>
      </w:pPr>
      <w:r>
        <w:rPr>
          <w:b w:val="0"/>
          <w:i w:val="0"/>
          <w:sz w:val="21"/>
        </w:rPr>
        <w:t>This report evaluates whether a retail-tradeable, systematic intraday strategy can pass an FTMO prop-firm trading challenge on a single attempt, and at what probability. The work was conducted from raw market data with realistic execution assumptions, validated across sixteen years and multiple volatility regimes, and the bet-sizing problem was solved with stochastic dynamic programming. The conclusion is deliberately framed around evidence rather than aspiration.</w:t>
      </w:r>
    </w:p>
    <w:p>
      <w:pPr>
        <w:spacing w:after="80"/>
      </w:pPr>
      <w:r>
        <w:rPr>
          <w:b/>
          <w:i w:val="0"/>
          <w:color w:val="1F3B57"/>
          <w:sz w:val="23"/>
        </w:rPr>
        <w:t>Headline conclusions</w:t>
      </w:r>
    </w:p>
    <w:p>
      <w:pPr>
        <w:pStyle w:val="ListBullet"/>
        <w:spacing w:after="60"/>
      </w:pPr>
      <w:r>
        <w:rPr>
          <w:b/>
        </w:rPr>
        <w:t xml:space="preserve">No single-attempt strategy in this universe passes &gt;50% in under two months. </w:t>
      </w:r>
      <w:r>
        <w:t>The strongest vehicle is the two-step challenge traded with a long-only, gap- and trend-filtered Opening-Range Breakout (ORB) on the Nasdaq-100, sized with the DP-optimal policy: p(pass) ≈ 44% in the recent high-volatility regime and ≈ 30% on the full sixteen-year out-of-sample history (≈ 52% if the horizon is relaxed to three months).</w:t>
      </w:r>
    </w:p>
    <w:p>
      <w:pPr>
        <w:pStyle w:val="ListBullet"/>
        <w:spacing w:after="60"/>
      </w:pPr>
      <w:r>
        <w:rPr>
          <w:b/>
        </w:rPr>
        <w:t xml:space="preserve">The one-step challenge is harder, not easier. </w:t>
      </w:r>
      <w:r>
        <w:t>Its tighter 3% daily-loss cap, end-of-day trailing maximum loss, and 50% Best-Day consistency rule reduce the single-attempt pass rate to ≈ 23–29%. The Best-Day rule specifically penalises the strategy's positive skew, which is its edge.</w:t>
      </w:r>
    </w:p>
    <w:p>
      <w:pPr>
        <w:pStyle w:val="ListBullet"/>
        <w:spacing w:after="60"/>
      </w:pPr>
      <w:r>
        <w:rPr>
          <w:b/>
        </w:rPr>
        <w:t xml:space="preserve">Sizing is already optimal; the binding constraint is the edge itself. </w:t>
      </w:r>
      <w:r>
        <w:t>The dynamic-programming solution is the optimum over all sizing policies, so the ceiling cannot be lifted by better money management — only by a higher-Sharpe signal, which does not exist in the liquid, free-data, retail-intraday space we surveyed exhaustively.</w:t>
      </w:r>
    </w:p>
    <w:p>
      <w:pPr>
        <w:pStyle w:val="ListBullet"/>
        <w:spacing w:after="60"/>
      </w:pPr>
      <w:r>
        <w:rPr>
          <w:b/>
        </w:rPr>
        <w:t xml:space="preserve">The realistic source of value is the funded account, not the pass. </w:t>
      </w:r>
      <w:r>
        <w:t>A diversified daily book (ORB core + Turn-of-Month equity + commodity trend) delivers an out-of-sample Sharpe near 0.9 within the funded-account drawdown limits, producing steady but modest payouts (~0.25–0.30% per month net of profit split).</w:t>
      </w:r>
    </w:p>
    <w:p>
      <w:pPr>
        <w:spacing w:after="160"/>
      </w:pPr>
      <w:r>
        <w:rPr>
          <w:b w:val="0"/>
          <w:i/>
          <w:sz w:val="21"/>
        </w:rPr>
        <w:t>The deliverable is therefore a rigorously-evidenced answer — including a well-proven “no” on the single-attempt &gt;50% objective — plus a deployable funded-account book and a fully reproducible code base.</w:t>
      </w:r>
    </w:p>
    <w:p>
      <w:pPr>
        <w:pStyle w:val="Heading1"/>
      </w:pPr>
      <w:r>
        <w:t>2. Objective &amp; Scope</w:t>
      </w:r>
    </w:p>
    <w:p>
      <w:pPr>
        <w:spacing w:after="120"/>
      </w:pPr>
      <w:r>
        <w:rPr>
          <w:b w:val="0"/>
          <w:i w:val="0"/>
          <w:sz w:val="21"/>
        </w:rPr>
        <w:t>Objective. Determine, on a single attempt, the probability of passing an FTMO challenge ($10,000 simulated account) in under two months using a systematic intraday strategy, and identify the best such strategy without overfitting.</w:t>
      </w:r>
    </w:p>
    <w:p>
      <w:pPr>
        <w:spacing w:after="80"/>
      </w:pPr>
      <w:r>
        <w:rPr>
          <w:b/>
          <w:i w:val="0"/>
          <w:color w:val="1F3B57"/>
          <w:sz w:val="23"/>
        </w:rPr>
        <w:t>Scope &amp; constraints.</w:t>
      </w:r>
    </w:p>
    <w:p>
      <w:pPr>
        <w:pStyle w:val="ListBullet"/>
        <w:spacing w:after="60"/>
      </w:pPr>
      <w:r>
        <w:t>Single attempt only — no reliance on multi-account or repeated-attempt structures.</w:t>
      </w:r>
    </w:p>
    <w:p>
      <w:pPr>
        <w:pStyle w:val="ListBullet"/>
        <w:spacing w:after="60"/>
      </w:pPr>
      <w:r>
        <w:t>FTMO-tradeable instruments only (FX majors, index CFDs, metals, BTC/ETH crypto CFDs).</w:t>
      </w:r>
    </w:p>
    <w:p>
      <w:pPr>
        <w:pStyle w:val="ListBullet"/>
        <w:spacing w:after="60"/>
      </w:pPr>
      <w:r>
        <w:t>Realistic execution: next-bar-open fills, per-instrument spreads and commissions, no look-ahead.</w:t>
      </w:r>
    </w:p>
    <w:p>
      <w:pPr>
        <w:pStyle w:val="ListBullet"/>
        <w:spacing w:after="60"/>
      </w:pPr>
      <w:r>
        <w:t>Out-of-sample discipline throughout; a result is only believed if it survives full-history validation.</w:t>
      </w:r>
    </w:p>
    <w:p>
      <w:pPr>
        <w:pStyle w:val="Heading1"/>
      </w:pPr>
      <w:r>
        <w:t>3. FTMO Challenge Rules (verified, 2026)</w:t>
      </w:r>
    </w:p>
    <w:p>
      <w:pPr>
        <w:spacing w:after="120"/>
      </w:pPr>
      <w:r>
        <w:rPr>
          <w:b w:val="0"/>
          <w:i w:val="0"/>
          <w:sz w:val="21"/>
        </w:rPr>
        <w:t>The two FTMO challenge formats differ materially. An earlier iteration of this analysis mis-modelled the one-step format with the two-step's rules; the rules below were re-verified against FTMO's official documentation and all results corrected accordingly (see Limitations).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2E75B6"/>
          </w:tcPr>
          <w:p>
            <w:r/>
            <w:r>
              <w:rPr>
                <w:b/>
                <w:color w:val="FFFFFF"/>
                <w:sz w:val="19"/>
              </w:rPr>
              <w:t>Rule</w:t>
            </w:r>
          </w:p>
        </w:tc>
        <w:tc>
          <w:tcPr>
            <w:tcW w:type="dxa" w:w="4320"/>
            <w:shd w:val="clear" w:fill="2E75B6"/>
          </w:tcPr>
          <w:p>
            <w:r/>
            <w:r>
              <w:rPr>
                <w:b/>
                <w:color w:val="FFFFFF"/>
                <w:sz w:val="19"/>
              </w:rPr>
              <w:t>2-Step Challenge</w:t>
            </w:r>
          </w:p>
        </w:tc>
        <w:tc>
          <w:tcPr>
            <w:tcW w:type="dxa" w:w="5040"/>
            <w:shd w:val="clear" w:fill="2E75B6"/>
          </w:tcPr>
          <w:p>
            <w:r/>
            <w:r>
              <w:rPr>
                <w:b/>
                <w:color w:val="FFFFFF"/>
                <w:sz w:val="19"/>
              </w:rPr>
              <w:t>1-Step Challenge (since Feb 2026)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Profit target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+10% (Phase 1) then +5% (Phase 2)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+10%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Max daily loss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5% of initial (fixed)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3% of initial (reset each day)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Max total loss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10% STATIC (floor $9,000)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10% TRAILING end-of-day (floor = peak-EOD − $1,000)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Best-Day consistency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None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Yes — no day may exceed 50% of total profit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Time limit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None (min 4 trading days/phase)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None (min 4 trading days)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55555"/>
          <w:sz w:val="21"/>
        </w:rPr>
        <w:t>Implication: the one-step's three constraints are each tighter, making it the harder challenge for a positive-skew intraday strategy.</w:t>
      </w:r>
    </w:p>
    <w:p>
      <w:pPr>
        <w:pStyle w:val="Heading1"/>
      </w:pPr>
      <w:r>
        <w:t>4. Data &amp; Methodology</w:t>
      </w:r>
    </w:p>
    <w:p>
      <w:pPr>
        <w:pStyle w:val="Heading2"/>
      </w:pPr>
      <w:r>
        <w:t>4.1 Data</w:t>
      </w:r>
    </w:p>
    <w:p>
      <w:pPr>
        <w:pStyle w:val="ListBullet"/>
        <w:spacing w:after="60"/>
      </w:pPr>
      <w:r>
        <w:rPr>
          <w:b/>
        </w:rPr>
        <w:t xml:space="preserve">Intraday (M1). </w:t>
      </w:r>
      <w:r>
        <w:t>US index CFDs (US100/US500/US30/US2000) and GER40 from 2021–2022; NASDAQ (NQ) futures 2010–2026 as a clean 16-year Nasdaq proxy; gold and EURUSD 2018–2026; BTC 2018–2026.</w:t>
      </w:r>
    </w:p>
    <w:p>
      <w:pPr>
        <w:pStyle w:val="ListBullet"/>
        <w:spacing w:after="60"/>
      </w:pPr>
      <w:r>
        <w:rPr>
          <w:b/>
        </w:rPr>
        <w:t xml:space="preserve">Daily. </w:t>
      </w:r>
      <w:r>
        <w:t>Ten FTMO index CFDs (incl. AUS200/HK50/JP225) 2000–2026, plus commodity and FX panels — used for the funded-account book.</w:t>
      </w:r>
    </w:p>
    <w:p>
      <w:pPr>
        <w:pStyle w:val="ListBullet"/>
        <w:spacing w:after="60"/>
      </w:pPr>
      <w:r>
        <w:rPr>
          <w:b/>
        </w:rPr>
        <w:t xml:space="preserve">Auxiliary. </w:t>
      </w:r>
      <w:r>
        <w:t>Economic calendar (high-impact events), VIX and VIX term structure for regime work.</w:t>
      </w:r>
    </w:p>
    <w:p>
      <w:pPr>
        <w:pStyle w:val="Heading2"/>
      </w:pPr>
      <w:r>
        <w:t>4.2 Execution &amp; cost realism</w:t>
      </w:r>
    </w:p>
    <w:p>
      <w:pPr>
        <w:pStyle w:val="ListBullet"/>
        <w:spacing w:after="60"/>
      </w:pPr>
      <w:r>
        <w:t>Clock verified empirically as broker EET (not UTC) via the intraday volatility profile; US cash open at 16:30 EET.</w:t>
      </w:r>
    </w:p>
    <w:p>
      <w:pPr>
        <w:pStyle w:val="ListBullet"/>
        <w:spacing w:after="60"/>
      </w:pPr>
      <w:r>
        <w:t>Entries fill at the next-bar open after the breakout (conservative); exits trail to break-even after +1R, else at the RTH close. Flat overnight.</w:t>
      </w:r>
    </w:p>
    <w:p>
      <w:pPr>
        <w:pStyle w:val="ListBullet"/>
        <w:spacing w:after="60"/>
      </w:pPr>
      <w:r>
        <w:t>Costs: time-varying spread from tick data + commissions from FTMO specs + slippage (≈ 1 bp round-trip on indices, ≈ 0.6 bp on EURUSD).</w:t>
      </w:r>
    </w:p>
    <w:p>
      <w:pPr>
        <w:pStyle w:val="Heading2"/>
      </w:pPr>
      <w:r>
        <w:t>4.3 The challenge simulator and optimal sizing</w:t>
      </w:r>
    </w:p>
    <w:p>
      <w:pPr>
        <w:pStyle w:val="ListBullet"/>
        <w:spacing w:after="60"/>
      </w:pPr>
      <w:r>
        <w:rPr>
          <w:b/>
        </w:rPr>
        <w:t xml:space="preserve">Monte-Carlo simulator. </w:t>
      </w:r>
      <w:r>
        <w:t>Full daily/total drawdown logic for both challenge formats, driven by a stationary block bootstrap of real daily returns — preserving volatility clustering (an IID bootstrap materially over-states the pass rate).</w:t>
      </w:r>
    </w:p>
    <w:p>
      <w:pPr>
        <w:pStyle w:val="ListBullet"/>
        <w:spacing w:after="60"/>
      </w:pPr>
      <w:r>
        <w:rPr>
          <w:b/>
        </w:rPr>
        <w:t xml:space="preserve">Optimal bet-sizing (dynamic programming). </w:t>
      </w:r>
      <w:r>
        <w:t>The challenge is a finite-horizon barrier-hitting problem. We solve the Bellman recursion over the state (equity, days remaining, phase) for the risk fraction ρ* that maximises p(pass), then validate that policy in the clustering-aware bootstrap. The DP is the optimum over all sizing policies and therefore furnishes a ceiling, not a heuristic.</w:t>
      </w:r>
    </w:p>
    <w:p>
      <w:r>
        <w:br w:type="page"/>
      </w:r>
    </w:p>
    <w:p>
      <w:pPr>
        <w:pStyle w:val="Heading1"/>
      </w:pPr>
      <w:r>
        <w:t>5. Strategy Construction</w:t>
      </w:r>
    </w:p>
    <w:p>
      <w:pPr>
        <w:spacing w:after="120"/>
      </w:pPr>
      <w:r>
        <w:rPr>
          <w:b w:val="0"/>
          <w:i w:val="0"/>
          <w:sz w:val="21"/>
        </w:rPr>
        <w:t>The winning signal across a broad screen is a long-only, gap- and trend-filtered Opening-Range Breakout on the Nasdaq-100 — the only family that is positive, two-sided-robust, and survives realistic fills after costs.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fill="2E75B6"/>
          </w:tcPr>
          <w:p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0080"/>
            <w:shd w:val="clear" w:fill="2E75B6"/>
          </w:tcPr>
          <w:p>
            <w:r/>
            <w:r>
              <w:rPr>
                <w:b/>
                <w:color w:val="FFFFFF"/>
                <w:sz w:val="19"/>
              </w:rPr>
              <w:t>Specification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Instrument</w:t>
            </w:r>
          </w:p>
        </w:tc>
        <w:tc>
          <w:tcPr>
            <w:tcW w:type="dxa" w:w="10080"/>
          </w:tcPr>
          <w:p>
            <w:r/>
            <w:r>
              <w:rPr>
                <w:sz w:val="19"/>
              </w:rPr>
              <w:t>Nasdaq-100 (US100.cash); “book” variant adds GER40.cash (decorrelated Frankfurt session)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Opening range</w:t>
            </w:r>
          </w:p>
        </w:tc>
        <w:tc>
          <w:tcPr>
            <w:tcW w:type="dxa" w:w="10080"/>
          </w:tcPr>
          <w:p>
            <w:r/>
            <w:r>
              <w:rPr>
                <w:sz w:val="19"/>
              </w:rPr>
              <w:t>First 30 minutes of the US cash session (09:30–10:00 ET)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Entry</w:t>
            </w:r>
          </w:p>
        </w:tc>
        <w:tc>
          <w:tcPr>
            <w:tcW w:type="dxa" w:w="10080"/>
          </w:tcPr>
          <w:p>
            <w:r/>
            <w:r>
              <w:rPr>
                <w:sz w:val="19"/>
              </w:rPr>
              <w:t>Long only, on the first 1-min break of the OR high after 10:00, only if the OR-end price is above the prior-day close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Stop / exit</w:t>
            </w:r>
          </w:p>
        </w:tc>
        <w:tc>
          <w:tcPr>
            <w:tcW w:type="dxa" w:w="10080"/>
          </w:tcPr>
          <w:p>
            <w:r/>
            <w:r>
              <w:rPr>
                <w:sz w:val="19"/>
              </w:rPr>
              <w:t>Stop at the OR low (= 1R); trail to break-even after +1R, otherwise exit at the RTH close; flat overnight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Filter / sizing</w:t>
            </w:r>
          </w:p>
        </w:tc>
        <w:tc>
          <w:tcPr>
            <w:tcW w:type="dxa" w:w="10080"/>
          </w:tcPr>
          <w:p>
            <w:r/>
            <w:r>
              <w:rPr>
                <w:sz w:val="19"/>
              </w:rPr>
              <w:t>OR width ≥ 8 bps; risk-based size ρ per trade (DP-optimal), capped under the daily-loss limit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55555"/>
          <w:sz w:val="21"/>
        </w:rPr>
        <w:t>The strategy trades roughly 40% of days (≈ 100 trades/year per sleeve). It is, candidly, a harvest of the intraday long-equity drift on confirmed up-days — real but regime-dependent beta, not market-neutral alpha.</w:t>
      </w:r>
    </w:p>
    <w:p>
      <w:pPr>
        <w:pStyle w:val="Heading2"/>
      </w:pPr>
      <w:r>
        <w:t>5.1 Signal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fill="2E75B6"/>
          </w:tcPr>
          <w:p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464"/>
            <w:shd w:val="clear" w:fill="2E75B6"/>
          </w:tcPr>
          <w:p>
            <w:r/>
            <w:r>
              <w:rPr>
                <w:b/>
                <w:color w:val="FFFFFF"/>
                <w:sz w:val="19"/>
              </w:rPr>
              <w:t>Nasdaq (full 16y, robust)</w:t>
            </w:r>
          </w:p>
        </w:tc>
        <w:tc>
          <w:tcPr>
            <w:tcW w:type="dxa" w:w="4464"/>
            <w:shd w:val="clear" w:fill="2E75B6"/>
          </w:tcPr>
          <w:p>
            <w:r/>
            <w:r>
              <w:rPr>
                <w:b/>
                <w:color w:val="FFFFFF"/>
                <w:sz w:val="19"/>
              </w:rPr>
              <w:t>US100+GER40 book (2022+ regime)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Trades / year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~100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~155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Hit rate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48.7%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41.7%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Skew (per trade)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+1.23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+1.98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Avg win / avg loss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+0.85R / −0.66R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+1.49R / −0.80R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Daily Sharpe (annualised)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0.77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1.21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Sortino (annualised)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1.12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2.55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Positive years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13 / 17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2022+ all positive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eg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7"/>
        </w:rPr>
        <w:t>Figure. Nasdaq ORB net edge by year (realistic fills). The edge is positive only in 2021–2024 and ≈ zero across the full history — its recent strength is a regime and favourable-fill artefact, not robust alpha.</w:t>
      </w:r>
    </w:p>
    <w:p>
      <w:pPr>
        <w:pStyle w:val="Heading1"/>
      </w:pPr>
      <w:r>
        <w:t>6. Challenge Feasibility — p(pass), single attempt, real rules</w:t>
      </w:r>
    </w:p>
    <w:p>
      <w:pPr>
        <w:spacing w:after="120"/>
      </w:pPr>
      <w:r>
        <w:rPr>
          <w:b w:val="0"/>
          <w:i w:val="0"/>
          <w:sz w:val="21"/>
        </w:rPr>
        <w:t>Probabilities below use the corrected FTMO rules, a single attempt, realistic fills, and honest (non-overfit) fixed sizing within the daily-loss cap. The 2-step uses DP-optimal sizing.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888"/>
            <w:shd w:val="clear" w:fill="2E75B6"/>
          </w:tcPr>
          <w:p>
            <w:r/>
            <w:r>
              <w:rPr>
                <w:b/>
                <w:color w:val="FFFFFF"/>
                <w:sz w:val="19"/>
              </w:rPr>
              <w:t>Strategy</w:t>
            </w:r>
          </w:p>
        </w:tc>
        <w:tc>
          <w:tcPr>
            <w:tcW w:type="dxa" w:w="2736"/>
            <w:shd w:val="clear" w:fill="2E75B6"/>
          </w:tcPr>
          <w:p>
            <w:r/>
            <w:r>
              <w:rPr>
                <w:b/>
                <w:color w:val="FFFFFF"/>
                <w:sz w:val="19"/>
              </w:rPr>
              <w:t>2-step &lt;2 mo</w:t>
            </w:r>
          </w:p>
        </w:tc>
        <w:tc>
          <w:tcPr>
            <w:tcW w:type="dxa" w:w="2160"/>
            <w:shd w:val="clear" w:fill="2E75B6"/>
          </w:tcPr>
          <w:p>
            <w:r/>
            <w:r>
              <w:rPr>
                <w:b/>
                <w:color w:val="FFFFFF"/>
                <w:sz w:val="19"/>
              </w:rPr>
              <w:t>2-step &lt;3 mo</w:t>
            </w:r>
          </w:p>
        </w:tc>
        <w:tc>
          <w:tcPr>
            <w:tcW w:type="dxa" w:w="2448"/>
            <w:shd w:val="clear" w:fill="2E75B6"/>
          </w:tcPr>
          <w:p>
            <w:r/>
            <w:r>
              <w:rPr>
                <w:b/>
                <w:color w:val="FFFFFF"/>
                <w:sz w:val="19"/>
              </w:rPr>
              <w:t>1-step &lt;2 mo</w:t>
            </w:r>
          </w:p>
        </w:tc>
        <w:tc>
          <w:tcPr>
            <w:tcW w:type="dxa" w:w="2160"/>
            <w:shd w:val="clear" w:fill="2E75B6"/>
          </w:tcPr>
          <w:p>
            <w:r/>
            <w:r>
              <w:rPr>
                <w:b/>
                <w:color w:val="FFFFFF"/>
                <w:sz w:val="19"/>
              </w:rPr>
              <w:t>1-step &lt;3 mo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/>
                <w:sz w:val="19"/>
              </w:rPr>
              <w:t>Nasdaq, full 16y (robust)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30% (bust 42%)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39%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23% (bust 28%)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33%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/>
                <w:sz w:val="19"/>
              </w:rPr>
              <w:t>US100+GER40 book (regime)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44% (bust 49%)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52%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29% (bust 23%)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41%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>Nothing clears 50% in under two months on a single attempt.</w:t>
      </w:r>
    </w:p>
    <w:p>
      <w:pPr>
        <w:pStyle w:val="ListBullet"/>
        <w:spacing w:after="60"/>
      </w:pPr>
      <w:r>
        <w:t>The 2-step is the better vehicle; the 2-step book reaches ~52% only at three months.</w:t>
      </w:r>
    </w:p>
    <w:p>
      <w:pPr>
        <w:pStyle w:val="ListBullet"/>
        <w:spacing w:after="60"/>
      </w:pPr>
      <w:r>
        <w:t>The 1-step is harder; its Best-Day rule alone costs ~13 percentage points by penalising the strategy's skew.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59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radeo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5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7"/>
        </w:rPr>
        <w:t>Figure. The fundamental trade-off: sizing for speed raises the pass rate but also the bust rate. No point on the frontier reaches 50% in two months on a single attempt.</w:t>
      </w:r>
    </w:p>
    <w:p>
      <w:pPr>
        <w:pStyle w:val="Heading2"/>
      </w:pPr>
      <w:r>
        <w:t>6.1 Optimal sizing &amp; the ceiling</w:t>
      </w:r>
    </w:p>
    <w:p>
      <w:pPr>
        <w:spacing w:after="120"/>
      </w:pPr>
      <w:r>
        <w:rPr>
          <w:b w:val="0"/>
          <w:i w:val="0"/>
          <w:sz w:val="21"/>
        </w:rPr>
        <w:t>The dynamic-programming policy sizes up when far from target with little time remaining, and eases off near the target and near the floor — a structure that fixed-fraction and floor-taper sizing only approximate. It improves the pass rate and lowers the bust rate, but because it is the optimum over all policies, the residual gap to 50% is a property of the edge, not of money management.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97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P_poli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7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7"/>
        </w:rPr>
        <w:t>Figure. DP-optimal risk per trade ρ*(equity, days remaining) for the one-step book. Bright = maximum risk (gamble to reach +10% in time); dark = reduce risk (lock in / avoid the floor).</w:t>
      </w:r>
    </w:p>
    <w:p>
      <w:r>
        <w:br w:type="page"/>
      </w:r>
    </w:p>
    <w:p>
      <w:pPr>
        <w:pStyle w:val="Heading1"/>
      </w:pPr>
      <w:r>
        <w:t>7. Research Register — What Was Tested and Rejected</w:t>
      </w:r>
    </w:p>
    <w:p>
      <w:pPr>
        <w:spacing w:after="120"/>
      </w:pPr>
      <w:r>
        <w:rPr>
          <w:b w:val="0"/>
          <w:i w:val="0"/>
          <w:sz w:val="21"/>
        </w:rPr>
        <w:t>Breadth matters as much as the headline. Each lever below was implemented and evaluated on the same realistic basis; most were rejected on evidence.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896"/>
            <w:shd w:val="clear" w:fill="2E75B6"/>
          </w:tcPr>
          <w:p>
            <w:r/>
            <w:r>
              <w:rPr>
                <w:b/>
                <w:color w:val="FFFFFF"/>
                <w:sz w:val="19"/>
              </w:rPr>
              <w:t>Lever</w:t>
            </w:r>
          </w:p>
        </w:tc>
        <w:tc>
          <w:tcPr>
            <w:tcW w:type="dxa" w:w="4752"/>
            <w:shd w:val="clear" w:fill="2E75B6"/>
          </w:tcPr>
          <w:p>
            <w:r/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3744"/>
            <w:shd w:val="clear" w:fill="2E75B6"/>
          </w:tcPr>
          <w:p>
            <w:r/>
            <w:r>
              <w:rPr>
                <w:b/>
                <w:color w:val="FFFFFF"/>
                <w:sz w:val="19"/>
              </w:rPr>
              <w:t>Verdict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/>
                <w:sz w:val="19"/>
              </w:rPr>
              <w:t>Mean-reversion (VWAP/z), intraday momentum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−EV / Sharpe &lt; 0.4 after costs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Rejected (cost-killed)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/>
                <w:sz w:val="19"/>
              </w:rPr>
              <w:t>Multi-sleeve diversification (equal-risk)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Dilutes Sharpe (1.03 &lt; US100's 1.16)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Only GER40 is a +EV decorrelated partner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/>
                <w:sz w:val="19"/>
              </w:rPr>
              <w:t>Walk-forward ML entry filter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OOS Sharpe 0.68 — after catching a leak that faked Sharpe 11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No improvement over the simple rule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/>
                <w:sz w:val="19"/>
              </w:rPr>
              <w:t>HMM regime + macro/VIX score (causal)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Regime edge is real but gating slows a timed challenge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Helps risk, not speed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/>
                <w:sz w:val="19"/>
              </w:rPr>
              <w:t>Event / news conditioning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ORB performs worse on high-impact days (whipsaw)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No edge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/>
                <w:sz w:val="19"/>
              </w:rPr>
              <w:t>Cross-sectional intraday (US indices)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Sharpe +0.03 (~0) after costs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Decorrelated but zero-EV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/>
                <w:sz w:val="19"/>
              </w:rPr>
              <w:t>Crypto (BTC) long-ORB sleeve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−EV (Sharpe −0.66), dilutes the book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Rejected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/>
                <w:sz w:val="19"/>
              </w:rPr>
              <w:t>Partial-profit exit (½ at +1R)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Cuts the right tail the barrier rewards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Counter-productive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/>
                <w:sz w:val="19"/>
              </w:rPr>
              <w:t>Entry-timing on volatility regime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+2.8 pp (start in high-vol)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Modest but real, free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/>
                <w:sz w:val="19"/>
              </w:rPr>
              <w:t>Optimal sizing (dynamic programming)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More pass, less bust; defines the ceiling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The one genuine gain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B2_sharp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7"/>
        </w:rPr>
        <w:t>Figure. Diversification analysis: adding lower-Sharpe decorrelated sleeves to a dominant one dilutes the combined Sharpe; even the optimal (tangency) book beats the best single sleeve only marginally.</w:t>
      </w:r>
    </w:p>
    <w:p>
      <w:pPr>
        <w:pStyle w:val="Heading1"/>
      </w:pPr>
      <w:r>
        <w:t>8. The Funded-Account Strategy (post-pass)</w:t>
      </w:r>
    </w:p>
    <w:p>
      <w:pPr>
        <w:spacing w:after="120"/>
      </w:pPr>
      <w:r>
        <w:rPr>
          <w:b w:val="0"/>
          <w:i w:val="0"/>
          <w:sz w:val="21"/>
        </w:rPr>
        <w:t>On a funded account the symmetric +10% barrier disappears; the objective becomes consistent profit for payouts within the 5% daily / 10% maximum drawdown limits. Here weak-but-robust multi-day edges become usable. We combine the ORB core with two decorrelated, out-of-sample-stable daily sleeves.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464"/>
            <w:shd w:val="clear" w:fill="2E75B6"/>
          </w:tcPr>
          <w:p>
            <w:r/>
            <w:r>
              <w:rPr>
                <w:b/>
                <w:color w:val="FFFFFF"/>
                <w:sz w:val="19"/>
              </w:rPr>
              <w:t>Sleeve</w:t>
            </w:r>
          </w:p>
        </w:tc>
        <w:tc>
          <w:tcPr>
            <w:tcW w:type="dxa" w:w="2448"/>
            <w:shd w:val="clear" w:fill="2E75B6"/>
          </w:tcPr>
          <w:p>
            <w:r/>
            <w:r>
              <w:rPr>
                <w:b/>
                <w:color w:val="FFFFFF"/>
                <w:sz w:val="19"/>
              </w:rPr>
              <w:t>Sharpe (full)</w:t>
            </w:r>
          </w:p>
        </w:tc>
        <w:tc>
          <w:tcPr>
            <w:tcW w:type="dxa" w:w="2736"/>
            <w:shd w:val="clear" w:fill="2E75B6"/>
          </w:tcPr>
          <w:p>
            <w:r/>
            <w:r>
              <w:rPr>
                <w:b/>
                <w:color w:val="FFFFFF"/>
                <w:sz w:val="19"/>
              </w:rPr>
              <w:t>Sharpe (OOS 2015+)</w:t>
            </w:r>
          </w:p>
        </w:tc>
        <w:tc>
          <w:tcPr>
            <w:tcW w:type="dxa" w:w="3744"/>
            <w:shd w:val="clear" w:fill="2E75B6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4464"/>
          </w:tcPr>
          <w:p>
            <w:r/>
            <w:r>
              <w:rPr>
                <w:b/>
                <w:sz w:val="19"/>
              </w:rPr>
              <w:t>ORB (intraday core)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0.77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0.87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Primary edge</w:t>
            </w:r>
          </w:p>
        </w:tc>
      </w:tr>
      <w:tr>
        <w:tc>
          <w:tcPr>
            <w:tcW w:type="dxa" w:w="4464"/>
          </w:tcPr>
          <w:p>
            <w:r/>
            <w:r>
              <w:rPr>
                <w:b/>
                <w:sz w:val="19"/>
              </w:rPr>
              <w:t>Turn-of-Month (equity)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0.30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0.32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Robust calendar effect</w:t>
            </w:r>
          </w:p>
        </w:tc>
      </w:tr>
      <w:tr>
        <w:tc>
          <w:tcPr>
            <w:tcW w:type="dxa" w:w="4464"/>
          </w:tcPr>
          <w:p>
            <w:r/>
            <w:r>
              <w:rPr>
                <w:b/>
                <w:sz w:val="19"/>
              </w:rPr>
              <w:t>Commodity time-series momentum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0.41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0.58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Decorrelated trend</w:t>
            </w:r>
          </w:p>
        </w:tc>
      </w:tr>
      <w:tr>
        <w:tc>
          <w:tcPr>
            <w:tcW w:type="dxa" w:w="4464"/>
          </w:tcPr>
          <w:p>
            <w:r/>
            <w:r>
              <w:rPr>
                <w:b/>
                <w:sz w:val="19"/>
              </w:rPr>
              <w:t>(Short-term reversal)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(2.01)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REJECTED — turnover/cost artefact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Sized conservatively to respect the 10% maximum drawdown (≈ 4.5% annual volatility target):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184"/>
            <w:shd w:val="clear" w:fill="2E75B6"/>
          </w:tcPr>
          <w:p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176"/>
            <w:shd w:val="clear" w:fill="2E75B6"/>
          </w:tcPr>
          <w:p>
            <w:r/>
            <w:r>
              <w:rPr>
                <w:b/>
                <w:color w:val="FFFFFF"/>
                <w:sz w:val="19"/>
              </w:rPr>
              <w:t>Full 2010–2026</w:t>
            </w:r>
          </w:p>
        </w:tc>
        <w:tc>
          <w:tcPr>
            <w:tcW w:type="dxa" w:w="4176"/>
            <w:shd w:val="clear" w:fill="2E75B6"/>
          </w:tcPr>
          <w:p>
            <w:r/>
            <w:r>
              <w:rPr>
                <w:b/>
                <w:color w:val="FFFFFF"/>
                <w:sz w:val="19"/>
              </w:rPr>
              <w:t>OOS 2018–2026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9"/>
              </w:rPr>
              <w:t>Sharpe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0.71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0.87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9"/>
              </w:rPr>
              <w:t>CAGR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3.3%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4.1%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9"/>
              </w:rPr>
              <w:t>Max drawdown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−9.3% (&lt; 10% limit)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−7.3%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9"/>
              </w:rPr>
              <w:t>Worst single day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−2.0% (&lt; 5% limit)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−2.0%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9"/>
              </w:rPr>
              <w:t>% positive months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63%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69%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9"/>
              </w:rPr>
              <w:t>Avg month → payout (80% split)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+0.28% → +0.22%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+0.34% → +0.28%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55555"/>
          <w:sz w:val="21"/>
        </w:rPr>
        <w:t>Economics. The book is positive, consistent (≈ two months in three) and compliant, but modest in absolute terms (~$25–30/month net on a $10k account, scaling with FTMO's account-growth plan). The honest value chain is: pass once (≈ 30–44%) → run this book for regular payouts → let the account scale.</w:t>
      </w:r>
    </w:p>
    <w:p>
      <w:r>
        <w:br w:type="page"/>
      </w:r>
    </w:p>
    <w:p>
      <w:pPr>
        <w:pStyle w:val="Heading1"/>
      </w:pPr>
      <w:r>
        <w:t>9. Risk Analysis</w:t>
      </w:r>
    </w:p>
    <w:p>
      <w:pPr>
        <w:pStyle w:val="ListBullet"/>
        <w:spacing w:after="60"/>
      </w:pPr>
      <w:r>
        <w:rPr>
          <w:b/>
        </w:rPr>
        <w:t xml:space="preserve">Daily drawdown. </w:t>
      </w:r>
      <w:r>
        <w:t>By construction a single stop loses ≈ ρ &lt; the daily cap; realised worst days were −3.9% (Nasdaq) / −4.3% (book) versus the 5% two-step limit — zero daily breaches.</w:t>
      </w:r>
    </w:p>
    <w:p>
      <w:pPr>
        <w:pStyle w:val="ListBullet"/>
        <w:spacing w:after="60"/>
      </w:pPr>
      <w:r>
        <w:rPr>
          <w:b/>
        </w:rPr>
        <w:t xml:space="preserve">Maximum drawdown. </w:t>
      </w:r>
      <w:r>
        <w:t>In-challenge, the account terminates at −10% (the bust rate). The funded book is sized so the continuous max drawdown stays inside −10%.</w:t>
      </w:r>
    </w:p>
    <w:p>
      <w:pPr>
        <w:pStyle w:val="ListBullet"/>
        <w:spacing w:after="60"/>
      </w:pPr>
      <w:r>
        <w:rPr>
          <w:b/>
        </w:rPr>
        <w:t xml:space="preserve">Regime dependence. </w:t>
      </w:r>
      <w:r>
        <w:t>The edge is concentrated in higher-volatility regimes and is roughly flat-to-negative in calm, low-volatility years; the 44% book figure is recent-regime, the 30% full-history figure is the robust planning number.</w:t>
      </w:r>
    </w:p>
    <w:p>
      <w:pPr>
        <w:pStyle w:val="ListBullet"/>
        <w:spacing w:after="60"/>
      </w:pPr>
      <w:r>
        <w:rPr>
          <w:b/>
        </w:rPr>
        <w:t xml:space="preserve">Bust rate. </w:t>
      </w:r>
      <w:r>
        <w:t>Sizing for a two-month pass implies a 40–50% probability of busting the attempt — inherent to racing a symmetric barrier with a thin edge.</w:t>
      </w:r>
    </w:p>
    <w:p>
      <w:pPr>
        <w:pStyle w:val="Heading1"/>
      </w:pPr>
      <w:r>
        <w:t>10. Limitations &amp; Intellectual Honesty</w:t>
      </w:r>
    </w:p>
    <w:p>
      <w:pPr>
        <w:pStyle w:val="ListBullet"/>
        <w:spacing w:after="60"/>
      </w:pPr>
      <w:r>
        <w:rPr>
          <w:b/>
        </w:rPr>
        <w:t xml:space="preserve">Long-biased beta, not alpha. </w:t>
      </w:r>
      <w:r>
        <w:t>The signal harvests intraday equity drift; it is regime-dependent and would degrade in a sustained low-volatility or bear regime.</w:t>
      </w:r>
    </w:p>
    <w:p>
      <w:pPr>
        <w:pStyle w:val="ListBullet"/>
        <w:spacing w:after="60"/>
      </w:pPr>
      <w:r>
        <w:rPr>
          <w:b/>
        </w:rPr>
        <w:t xml:space="preserve">Rules correction. </w:t>
      </w:r>
      <w:r>
        <w:t>An earlier draft modelled the one-step challenge with the two-step's looser rules, over-stating its pass rate (53–64% → corrected 23–29%). All figures here use re-verified rules.</w:t>
      </w:r>
    </w:p>
    <w:p>
      <w:pPr>
        <w:pStyle w:val="ListBullet"/>
        <w:spacing w:after="60"/>
      </w:pPr>
      <w:r>
        <w:rPr>
          <w:b/>
        </w:rPr>
        <w:t xml:space="preserve">False positives caught. </w:t>
      </w:r>
      <w:r>
        <w:t>A walk-forward ML filter initially showed Sharpe 11 — a look-ahead leak (a feature encoded the same-day outcome); a short-term-reversal sleeve showed Sharpe 2.0 — a turnover/cost artefact. Both were identified and removed. We report only post-correction numbers.</w:t>
      </w:r>
    </w:p>
    <w:p>
      <w:pPr>
        <w:pStyle w:val="ListBullet"/>
        <w:spacing w:after="60"/>
      </w:pPr>
      <w:r>
        <w:rPr>
          <w:b/>
        </w:rPr>
        <w:t xml:space="preserve">Execution assumption. </w:t>
      </w:r>
      <w:r>
        <w:t>Fills are modelled conservatively (next-bar). A resting-order model would lie between this and fill-at-level; we deliberately keep the conservative estimate.</w:t>
      </w:r>
    </w:p>
    <w:p>
      <w:pPr>
        <w:pStyle w:val="ListBullet"/>
        <w:spacing w:after="60"/>
      </w:pPr>
      <w:r>
        <w:rPr>
          <w:b/>
        </w:rPr>
        <w:t xml:space="preserve">Universe ceiling. </w:t>
      </w:r>
      <w:r>
        <w:t>Lifting the result requires data or markets beyond free liquid retail intraday (e.g. decorrelated Asian-session intraday, tick-level execution, or alternative data).</w:t>
      </w:r>
    </w:p>
    <w:p>
      <w:pPr>
        <w:pStyle w:val="Heading1"/>
      </w:pPr>
      <w:r>
        <w:t>11. Conclusions &amp; Recommendations</w:t>
      </w:r>
    </w:p>
    <w:p>
      <w:pPr>
        <w:pStyle w:val="ListBullet"/>
        <w:spacing w:after="60"/>
      </w:pPr>
      <w:r>
        <w:t>Do not expect a single-attempt &gt;50% pass in under two months from this universe; the most honest planning number is the 2-step book at ~44% (recent regime) or ~30% (full-history), ~52% at three months.</w:t>
      </w:r>
    </w:p>
    <w:p>
      <w:pPr>
        <w:pStyle w:val="ListBullet"/>
        <w:spacing w:after="60"/>
      </w:pPr>
      <w:r>
        <w:t>If attempting, use the 2-step challenge, the US100+GER40 ORB book, DP-optimal sizing, and — operationally — start in a higher-volatility regime (+~3 pp).</w:t>
      </w:r>
    </w:p>
    <w:p>
      <w:pPr>
        <w:pStyle w:val="ListBullet"/>
        <w:spacing w:after="60"/>
      </w:pPr>
      <w:r>
        <w:t>Treat the pass as a low-cost option; concentrate effort on the funded-account book, where the realistic, compliant, consistent EV lives.</w:t>
      </w:r>
    </w:p>
    <w:p>
      <w:pPr>
        <w:pStyle w:val="ListBullet"/>
        <w:spacing w:after="60"/>
      </w:pPr>
      <w:r>
        <w:t>Future work with new data: decorrelated Asian-session intraday sleeves (the single best lever), or sub-bar execution to raise the net edge.</w:t>
      </w:r>
    </w:p>
    <w:p>
      <w:pPr>
        <w:pStyle w:val="Heading1"/>
      </w:pPr>
      <w:r>
        <w:t>Appendix — Reproducibility &amp; Sources</w:t>
      </w:r>
    </w:p>
    <w:p>
      <w:pPr>
        <w:spacing w:after="40"/>
      </w:pPr>
      <w:r>
        <w:rPr>
          <w:b/>
          <w:i w:val="0"/>
          <w:color w:val="1F3B57"/>
          <w:sz w:val="22"/>
        </w:rPr>
        <w:t>Code base.</w:t>
      </w:r>
    </w:p>
    <w:p>
      <w:pPr>
        <w:pStyle w:val="ListBullet"/>
        <w:spacing w:after="60"/>
      </w:pPr>
      <w:r>
        <w:t>Repository ftmo_orb_1step/: data, strategy engine, FTMO simulators (2-step DP + real 1-step), DP sizer, live signal generator, 9 passing invariant tests.</w:t>
      </w:r>
    </w:p>
    <w:p>
      <w:pPr>
        <w:pStyle w:val="ListBullet"/>
        <w:spacing w:after="60"/>
      </w:pPr>
      <w:r>
        <w:t>Research artefacts in intraday_orb_study/: strategy spec, diversification addendum, results CSV, figures.</w:t>
      </w:r>
    </w:p>
    <w:p>
      <w:pPr>
        <w:spacing w:after="40"/>
      </w:pPr>
      <w:r>
        <w:rPr>
          <w:b/>
          <w:i w:val="0"/>
          <w:color w:val="1F3B57"/>
          <w:sz w:val="22"/>
        </w:rPr>
        <w:t>FTMO rule sources.</w:t>
      </w:r>
    </w:p>
    <w:p>
      <w:pPr>
        <w:pStyle w:val="ListBullet"/>
        <w:spacing w:after="60"/>
      </w:pPr>
      <w:r>
        <w:t>ftmo.com/en/blog/introducing-the-1-step-ftmo-challenge — 1-step rules.</w:t>
      </w:r>
    </w:p>
    <w:p>
      <w:pPr>
        <w:pStyle w:val="ListBullet"/>
        <w:spacing w:after="60"/>
      </w:pPr>
      <w:r>
        <w:t>ftmo.com/en/2-step-challenge and ftmo.com/en/trading-objectives — 2-step rules.</w:t>
      </w:r>
    </w:p>
    <w:p>
      <w:pPr>
        <w:spacing w:after="40"/>
      </w:pPr>
      <w:r>
        <w:rPr>
          <w:b/>
          <w:i w:val="0"/>
          <w:color w:val="1F3B57"/>
          <w:sz w:val="22"/>
        </w:rPr>
        <w:t>Glossary.</w:t>
      </w:r>
    </w:p>
    <w:p>
      <w:pPr>
        <w:pStyle w:val="ListBullet"/>
        <w:spacing w:after="60"/>
      </w:pPr>
      <w:r>
        <w:rPr>
          <w:b/>
        </w:rPr>
        <w:t xml:space="preserve">ORB. </w:t>
      </w:r>
      <w:r>
        <w:t>Opening-Range Breakout — trade a break of the first-30-minute high/low.</w:t>
      </w:r>
    </w:p>
    <w:p>
      <w:pPr>
        <w:pStyle w:val="ListBullet"/>
        <w:spacing w:after="60"/>
      </w:pPr>
      <w:r>
        <w:rPr>
          <w:b/>
        </w:rPr>
        <w:t xml:space="preserve">p(pass). </w:t>
      </w:r>
      <w:r>
        <w:t>Monte-Carlo probability of completing the challenge within the stated horizon, single attempt.</w:t>
      </w:r>
    </w:p>
    <w:p>
      <w:pPr>
        <w:pStyle w:val="ListBullet"/>
        <w:spacing w:after="60"/>
      </w:pPr>
      <w:r>
        <w:rPr>
          <w:b/>
        </w:rPr>
        <w:t xml:space="preserve">DP / Bellman. </w:t>
      </w:r>
      <w:r>
        <w:t>Dynamic programming — backward-induction solution for the optimal state-dependent bet size.</w:t>
      </w:r>
    </w:p>
    <w:p>
      <w:pPr>
        <w:pStyle w:val="ListBullet"/>
        <w:spacing w:after="60"/>
      </w:pPr>
      <w:r>
        <w:rPr>
          <w:b/>
        </w:rPr>
        <w:t xml:space="preserve">OOS. </w:t>
      </w:r>
      <w:r>
        <w:t>Out-of-sample — performance on data not used to design the strategy.</w:t>
      </w:r>
    </w:p>
    <w:p>
      <w:pPr>
        <w:spacing w:after="120"/>
      </w:pPr>
      <w:r>
        <w:rPr>
          <w:b w:val="0"/>
          <w:i/>
          <w:color w:val="555555"/>
          <w:sz w:val="18"/>
        </w:rPr>
        <w:t>This document is internal research for educational and portfolio purposes. It is not investment advice; simulated results do not guarantee future performance.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FTMO Systematic Intraday — Internal / Confidential    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