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1F3864"/>
          <w:sz w:val="46"/>
          <w:szCs w:val="46"/>
        </w:rPr>
        <w:t xml:space="preserve">Stratégies FTMO 2-step — Vague 2</w:t>
      </w:r>
    </w:p>
    <w:p>
      <w:pPr>
        <w:spacing w:after="240"/>
        <w:jc w:val="center"/>
      </w:pPr>
      <w:r>
        <w:rPr>
          <w:b/>
          <w:bCs/>
          <w:color w:val="2E5496"/>
          <w:sz w:val="30"/>
          <w:szCs w:val="30"/>
        </w:rPr>
        <w:t xml:space="preserve">100 nouveaux candidats : la découverte du Pivot-Fade</w:t>
      </w:r>
    </w:p>
    <w:p>
      <w:pPr>
        <w:jc w:val="center"/>
      </w:pPr>
      <w:r>
        <w:rPr>
          <w:color w:val="404040"/>
          <w:sz w:val="24"/>
          <w:szCs w:val="24"/>
        </w:rPr>
        <w:t xml:space="preserve">Même démarche, mécaniques différentes — screening, ranking, backtest, stress</w:t>
      </w:r>
    </w:p>
    <w:p>
      <w:pPr>
        <w:spacing w:after="500"/>
        <w:jc w:val="center"/>
      </w:pPr>
      <w:r>
        <w:rPr>
          <w:sz w:val="10"/>
          <w:szCs w:val="10"/>
        </w:rPr>
        <w:t xml:space="preserve"/>
      </w:r>
    </w:p>
    <w:p>
      <w:pPr>
        <w:jc w:val="center"/>
      </w:pPr>
      <w:r>
        <w:rPr>
          <w:color w:val="595959"/>
          <w:sz w:val="20"/>
          <w:szCs w:val="20"/>
        </w:rPr>
        <w:t xml:space="preserve">Prodige  ·  Juin 2026  ·  fenêtre propre 2021–2026</w:t>
      </w:r>
    </w:p>
    <w:p>
      <w:r>
        <w:br w:type="page"/>
      </w:r>
    </w:p>
    <w:p>
      <w:pPr>
        <w:pStyle w:val="Heading1"/>
      </w:pPr>
      <w:r>
        <w:t xml:space="preserve">1. Résumé exécutif</w:t>
      </w:r>
    </w:p>
    <w:p>
      <w:pPr>
        <w:spacing w:after="120" w:line="276"/>
      </w:pPr>
      <w:r>
        <w:t xml:space="preserve">J’ai relancé la démarche complète sur </w:t>
      </w:r>
      <w:r>
        <w:rPr>
          <w:b/>
          <w:bCs/>
        </w:rPr>
        <w:t xml:space="preserve">100 stratégies entièrement différentes</w:t>
      </w:r>
      <w:r>
        <w:t xml:space="preserve"> (10 nouvelles familles : opening-drive, first→last de Gao 2018, RSI(2), Bollinger, Keltner, niveaux de la veille, pivots, gap-continuation, momentum conditionné à la volatilité, dérives horaires). Résultat bien plus productif que la vague 1 : </w:t>
      </w:r>
      <w:r>
        <w:rPr>
          <w:b/>
          <w:bCs/>
        </w:rPr>
        <w:t xml:space="preserve">28 candidats sur 100 affichent un Sharpe positif</w:t>
      </w:r>
      <w:r>
        <w:t xml:space="preserve"> (contre 6 sur 105), et une famille domine nettement.</w:t>
      </w:r>
    </w:p>
    <w:p>
      <w:pPr>
        <w:spacing w:after="120" w:line="276"/>
      </w:pPr>
      <w:r>
        <w:t xml:space="preserve">La découverte : le </w:t>
      </w:r>
      <w:r>
        <w:rPr>
          <w:b/>
          <w:bCs/>
        </w:rPr>
        <w:t xml:space="preserve">Pivot-Fade</w:t>
      </w:r>
      <w:r>
        <w:t xml:space="preserve"> — fade des niveaux pivots R1/S1 vers le pivot central. Profil idéal pour FTMO (WR 51–57 %, skew positif, haute fréquence). En ensemble (US100/US30/XAUUSD/EURUSD) : </w:t>
      </w:r>
    </w:p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820"/>
        <w:gridCol w:w="820"/>
        <w:gridCol w:w="820"/>
        <w:gridCol w:w="1080"/>
        <w:gridCol w:w="860"/>
        <w:gridCol w:w="1000"/>
        <w:gridCol w:w="860"/>
      </w:tblGrid>
      <w:tr>
        <w:trPr>
          <w:tblHeader/>
        </w:trPr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Portefeuille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Sharpe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Calmar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Skew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Rdt/an</w:t>
            </w:r>
          </w:p>
        </w:tc>
        <w:tc>
          <w:tcPr>
            <w:tcW w:type="dxa" w:w="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DD max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+10% &lt;6 mois</w:t>
            </w:r>
          </w:p>
        </w:tc>
        <w:tc>
          <w:tcPr>
            <w:tcW w:type="dxa" w:w="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Breach</w:t>
            </w:r>
          </w:p>
        </w:tc>
      </w:tr>
      <w:tr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Pivot-Fade ensemble (vague 2)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2,67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3,56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+1,38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+26,6 %</w:t>
            </w:r>
          </w:p>
        </w:tc>
        <w:tc>
          <w:tcPr>
            <w:tcW w:type="dxa" w:w="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7,5 %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66 %</w:t>
            </w:r>
          </w:p>
        </w:tc>
        <w:tc>
          <w:tcPr>
            <w:tcW w:type="dxa" w:w="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0 %</w:t>
            </w:r>
          </w:p>
        </w:tc>
      </w:tr>
      <w:tr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Super-combiné (5 stratégies)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2,67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3,26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+1,09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+22,8 %</w:t>
            </w:r>
          </w:p>
        </w:tc>
        <w:tc>
          <w:tcPr>
            <w:tcW w:type="dxa" w:w="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7,0 %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57 %</w:t>
            </w:r>
          </w:p>
        </w:tc>
        <w:tc>
          <w:tcPr>
            <w:tcW w:type="dxa" w:w="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0 %</w:t>
            </w:r>
          </w:p>
        </w:tc>
      </w:tr>
      <w:tr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Rappel : combiné vague 1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0,99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0,97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+1,79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+7,2 %</w:t>
            </w:r>
          </w:p>
        </w:tc>
        <w:tc>
          <w:tcPr>
            <w:tcW w:type="dxa" w:w="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7,5 %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7 %</w:t>
            </w:r>
          </w:p>
        </w:tc>
        <w:tc>
          <w:tcPr>
            <w:tcW w:type="dxa" w:w="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0 %</w:t>
            </w:r>
          </w:p>
        </w:tc>
      </w:tr>
    </w:tbl>
    <w:p>
      <w:pPr>
        <w:spacing w:after="120" w:line="276"/>
      </w:pPr>
      <w:r>
        <w:t xml:space="preserve">Intégré au livre existant, le pivot-fade — </w:t>
      </w:r>
      <w:r>
        <w:rPr>
          <w:b/>
          <w:bCs/>
        </w:rPr>
        <w:t xml:space="preserve">décorrélé de tout (ρ ≈ 0)</w:t>
      </w:r>
      <w:r>
        <w:t xml:space="preserve"> et positif chaque année y compris en 2022 — fait passer le Sharpe du portefeuille de 0,99 à </w:t>
      </w:r>
      <w:r>
        <w:rPr>
          <w:b/>
          <w:bCs/>
        </w:rPr>
        <w:t xml:space="preserve">2,67</w:t>
      </w:r>
      <w:r>
        <w:t xml:space="preserve"> et la probabilité de boucler +10 % en moins de 6 mois de 7 % à </w:t>
      </w:r>
      <w:r>
        <w:rPr>
          <w:b/>
          <w:bCs/>
        </w:rPr>
        <w:t xml:space="preserve">57 %</w:t>
      </w:r>
      <w:r>
        <w:t xml:space="preserve"> (médiane 80 jours), toujours à 0 % de breach historique.</w:t>
      </w:r>
    </w:p>
    <w:p>
      <w:pPr>
        <w:pStyle w:val="Heading1"/>
      </w:pPr>
      <w:r>
        <w:t xml:space="preserve">2. Démarche (identique à la vague 1)</w:t>
      </w:r>
    </w:p>
    <w:p>
      <w:pPr>
        <w:spacing w:after="120" w:line="276"/>
      </w:pPr>
      <w:r>
        <w:t xml:space="preserve">Même pipeline rigoureux, appliqué à 100 mécaniques nouvelles : génération du catalogue → screening vectorisé M15 avec coûts réels (sans look-ahead, exécution next-bar) → ranking → deep-dive M5 des survivants (ratios complets) → stress tests (coûts ×2/×3, régimes, corrélations) → intégration au livre. Univers, contraintes FTMO (10 %/5 %), fenêtre 2021–2026 et contrôles anti-biais inchangés.</w:t>
      </w:r>
    </w:p>
    <w:p>
      <w:pPr>
        <w:pStyle w:val="Heading1"/>
      </w:pPr>
      <w:r>
        <w:t xml:space="preserve">3. Entonnoir : 100 nouveaux candidats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533650"/>
            <wp:effectExtent t="0" r="0" b="0" l="0"/>
            <wp:docPr id="1" name="Figure 1 — Classement des 10 nouvelles familles (Sharpe médian, M15, coûts réels). Le pivot-fade domine ; RSI(2), Keltner, gap-continuation échouent." descr="Figure 1 — Classement des 10 nouvelles familles (Sharpe médian, M15, coûts réels). Le pivot-fade domine ; RSI(2), Keltner, gap-continuation échouent." title="Figure 1 — Classement des 10 nouvelles familles (Sharpe médian, M15, coûts réels). Le pivot-fade domine ; RSI(2), Keltner, gap-continuation échou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Figure 1 — Classement des 10 nouvelles familles (Sharpe médian, M15, coûts réels). Le pivot-fade domine ; RSI(2), Keltner, gap-continuation échouent.</w:t>
      </w:r>
    </w:p>
    <w:p>
      <w:pPr>
        <w:spacing w:after="120" w:line="276"/>
      </w:pPr>
      <w:r>
        <w:rPr>
          <w:b/>
          <w:bCs/>
        </w:rPr>
        <w:t xml:space="preserve">Verts (edge) : </w:t>
      </w:r>
      <w:r>
        <w:t xml:space="preserve">pivot-fade (médiane 1,42), opening-drive et vol-regime-momentum (positifs). </w:t>
      </w:r>
      <w:r>
        <w:rPr>
          <w:b/>
          <w:bCs/>
        </w:rPr>
        <w:t xml:space="preserve">Rouges (échec) : </w:t>
      </w:r>
      <w:r>
        <w:t xml:space="preserve">RSI(2), Keltner, gap-continuation, prior-day-level — tués par les coûts ou sans edge. Le first→last de Gao tient en M15 (WR 56 %) mais s’effondre en M5 (sensible au timing de la dernière heure).</w:t>
      </w:r>
    </w:p>
    <w:p>
      <w:r>
        <w:br w:type="page"/>
      </w:r>
    </w:p>
    <w:p>
      <w:pPr>
        <w:pStyle w:val="Heading1"/>
      </w:pPr>
      <w:r>
        <w:t xml:space="preserve">4. La découverte : le Pivot-Fade</w:t>
      </w:r>
    </w:p>
    <w:p>
      <w:pPr>
        <w:pStyle w:val="Heading2"/>
      </w:pPr>
      <w:r>
        <w:t xml:space="preserve">Logique</w:t>
      </w:r>
    </w:p>
    <w:p>
      <w:pPr>
        <w:spacing w:after="120" w:line="276"/>
      </w:pPr>
      <w:r>
        <w:t xml:space="preserve">Pivots de trader classiques calculés sur la séance de la veille : </w:t>
      </w:r>
      <w:r>
        <w:rPr>
          <w:b/>
          <w:bCs/>
        </w:rPr>
        <w:t xml:space="preserve">P = (H + L + C)/3, R1 = 2P − L, S1 = 2P − H</w:t>
      </w:r>
      <w:r>
        <w:t xml:space="preserve">. En séance, quand le prix atteint R1 → vente vers P ; quand il atteint S1 → achat vers P. Stop = 1,5×ATR au-delà du niveau, cible = le pivot P, sortie à la clôture sinon. ≤ 1 trade/jour/instrument.</w:t>
      </w:r>
    </w:p>
    <w:p>
      <w:pPr>
        <w:spacing w:after="120" w:line="276"/>
      </w:pPr>
      <w:r>
        <w:rPr>
          <w:b/>
          <w:bCs/>
        </w:rPr>
        <w:t xml:space="preserve">Pourquoi ça marche : </w:t>
      </w:r>
      <w:r>
        <w:t xml:space="preserve">R1/S1 sont des niveaux massivement surveillés ; les premières incursions s’y heurtent à des ordres limites et reviennent vers P. C’est un effet microstructure/comportemental, non directionnel — d’où la stabilité tous régimes (positif même en 2022).</w:t>
      </w:r>
    </w:p>
    <w:p>
      <w:pPr>
        <w:pStyle w:val="Heading2"/>
      </w:pPr>
      <w:r>
        <w:t xml:space="preserve">Par instrument et en ensemble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860"/>
        <w:gridCol w:w="760"/>
        <w:gridCol w:w="760"/>
        <w:gridCol w:w="1080"/>
        <w:gridCol w:w="7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Instrument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Sharpe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Calmar</w:t>
            </w:r>
          </w:p>
        </w:tc>
        <w:tc>
          <w:tcPr>
            <w:tcW w:type="dxa" w:w="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Skew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WR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PF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Rdt/an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DD max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Pivot US100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2,32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2,12</w:t>
            </w:r>
          </w:p>
        </w:tc>
        <w:tc>
          <w:tcPr>
            <w:tcW w:type="dxa" w:w="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+1,13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56 %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1,70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+16,9 %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8,0 %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Pivot US30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1,97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1,90</w:t>
            </w:r>
          </w:p>
        </w:tc>
        <w:tc>
          <w:tcPr>
            <w:tcW w:type="dxa" w:w="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+3,47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51 %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1,43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+14,6 %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7,7 %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Pivot XAUUSD (or)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1,28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0,94</w:t>
            </w:r>
          </w:p>
        </w:tc>
        <w:tc>
          <w:tcPr>
            <w:tcW w:type="dxa" w:w="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+0,63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48 %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1,31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+7,4 %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7,9 %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Pivot EURUSD (FX)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1,01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0,70</w:t>
            </w:r>
          </w:p>
        </w:tc>
        <w:tc>
          <w:tcPr>
            <w:tcW w:type="dxa" w:w="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+2,37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56 %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1,40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+5,5 %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7,9 %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Ensemble (risque égal)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2,67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3,56</w:t>
            </w:r>
          </w:p>
        </w:tc>
        <w:tc>
          <w:tcPr>
            <w:tcW w:type="dxa" w:w="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+1,38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+26,6 %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7,5 %</w:t>
            </w:r>
          </w:p>
        </w:tc>
      </w:tr>
    </w:tbl>
    <w:p>
      <w:pPr>
        <w:spacing w:after="120" w:line="276"/>
      </w:pPr>
      <w:r>
        <w:t xml:space="preserve">L’ensemble (Sharpe 2,67 &gt; meilleur instrument 2,32) bénéficie de la décorrélation entre instruments, et couvre indice / or / FX. </w:t>
      </w:r>
      <w:r>
        <w:rPr>
          <w:b/>
          <w:bCs/>
        </w:rPr>
        <w:t xml:space="preserve">PIV_GBPUSD est écarté </w:t>
      </w:r>
      <w:r>
        <w:t xml:space="preserve">malgré un Sharpe 1,41 : skew −5,6 (queue gauche dangereuse en DD).</w:t>
      </w:r>
    </w:p>
    <w:p>
      <w:pPr>
        <w:pStyle w:val="Heading2"/>
      </w:pPr>
      <w:r>
        <w:t xml:space="preserve">Robustesse par régime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Période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Sharpe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Rdt/an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DD max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3,45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+29,7 %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2,3 %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2022 (bear)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1,69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+18,9 %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6,7 %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2,94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+28,5 %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2,4 %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2024–26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2,75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+28,0 %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5,5 %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Positif et fort chaque année, </w:t>
      </w:r>
      <w:r>
        <w:rPr>
          <w:b/>
          <w:bCs/>
        </w:rPr>
        <w:t xml:space="preserve">y compris dans le bear 2022 (+18,9 %)</w:t>
      </w:r>
      <w:r>
        <w:t xml:space="preserve"> où le livre de la vague 1 perdait — preuve d’un edge réel, non directionnel.</w:t>
      </w:r>
    </w:p>
    <w:p>
      <w:pPr>
        <w:pStyle w:val="Heading1"/>
      </w:pPr>
      <w:r>
        <w:t xml:space="preserve">5. Le second edge : Vol-Regime Momentum</w:t>
      </w:r>
    </w:p>
    <w:p>
      <w:pPr>
        <w:spacing w:after="120" w:line="276"/>
      </w:pPr>
      <w:r>
        <w:t xml:space="preserve">Momentum d’ouverture (signe de 09:30→T1, tenu jusqu’à clôture) </w:t>
      </w:r>
      <w:r>
        <w:rPr>
          <w:b/>
          <w:bCs/>
        </w:rPr>
        <w:t xml:space="preserve">filtré aux jours d’expansion</w:t>
      </w:r>
      <w:r>
        <w:t xml:space="preserve"> : on ne trade que si l’opening-range (60 min) dépasse 1,3× sa médiane 20 jours. Le filtre de volatilité écarte les jours de range où le momentum échoue.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000"/>
        <w:gridCol w:w="900"/>
        <w:gridCol w:w="900"/>
        <w:gridCol w:w="1100"/>
        <w:gridCol w:w="1100"/>
        <w:gridCol w:w="920"/>
      </w:tblGrid>
      <w:tr>
        <w:trPr>
          <w:tblHeader/>
        </w:trPr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Stratégie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Sharpe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Skew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PF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Rdt/an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DD max</w:t>
            </w:r>
          </w:p>
        </w:tc>
      </w:tr>
      <w:tr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Vol-Regime Mom US30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0,90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+2,53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23 %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1,18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+1,9 %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7,9 %</w:t>
            </w:r>
          </w:p>
        </w:tc>
      </w:tr>
      <w:tr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Vol-Regime Mom US100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0,42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+2,84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21 %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1,09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+1,0 %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8,0 %</w:t>
            </w:r>
          </w:p>
        </w:tc>
      </w:tr>
    </w:tbl>
    <w:p>
      <w:pPr>
        <w:spacing w:after="120" w:line="276"/>
      </w:pPr>
      <w:r>
        <w:t xml:space="preserve">Sharpe plus modeste que les pivots, mais skew très positif et mécanisme distinct (momentum conditionné) — utile en diversification. Amélioration nette du momentum brut de la vague 1 (S1, Sharpe 0,73).</w:t>
      </w:r>
    </w:p>
    <w:p>
      <w:r>
        <w:br w:type="page"/>
      </w:r>
    </w:p>
    <w:p>
      <w:pPr>
        <w:pStyle w:val="Heading1"/>
      </w:pPr>
      <w:r>
        <w:t xml:space="preserve">6. Intégration au livre &amp; super-combiné</w:t>
      </w:r>
    </w:p>
    <w:p>
      <w:pPr>
        <w:spacing w:after="120" w:line="276"/>
      </w:pPr>
      <w:r>
        <w:t xml:space="preserve">Les nouveaux edges sont quasi orthogonaux à tout l’existant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ρ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S3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Pivot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VRM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−0,18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0,02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−0,02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0,07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−0,18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−0,02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S3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0,02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−0,01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0,02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Pivot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−0,02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−0,01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−0,03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VRM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0,07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−0,02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0,02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−0,03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1,00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5715000" cy="2733675"/>
            <wp:effectExtent t="0" r="0" b="0" l="0"/>
            <wp:docPr id="1" name="Figure 2 — Le pivot-fade transforme le livre. Super-combiné des 5 stratégies : Sharpe 2,67, Calmar 3,26." descr="Figure 2 — Le pivot-fade transforme le livre. Super-combiné des 5 stratégies : Sharpe 2,67, Calmar 3,26." title="Figure 2 — Le pivot-fade transforme le livre. Super-combiné des 5 stratégies : Sharpe 2,67, Calmar 3,2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Figure 2 — Le pivot-fade transforme le livre. Super-combiné des 5 stratégies : Sharpe 2,67, Calmar 3,26.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Super-combiné (5 strat., risque égal)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Sharpe / Sortino-proxy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2,67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Calmar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3,26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Rendement / an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+22,8 %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DD max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7,0 %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Skew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+1,09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Étape 1 (+10 %) &lt; 6 mois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57 %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Étape 2 (+5 %) &lt; 6 mois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84 %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Médiane → +10 %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80 jours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Taux de breach (1 an)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0 %</w:t>
            </w:r>
          </w:p>
        </w:tc>
      </w:tr>
    </w:tbl>
    <w:p>
      <w:pPr>
        <w:pStyle w:val="Heading1"/>
      </w:pPr>
      <w:r>
        <w:t xml:space="preserve">7. Audit &amp; limites</w:t>
      </w:r>
    </w:p>
    <w:p>
      <w:pPr>
        <w:spacing w:after="120" w:line="276"/>
      </w:pPr>
      <w:r>
        <w:t xml:space="preserve">Un Sharpe de 2,67 impose la prudence. Trois éléments soutiennent qu’il s’agit d’un edge réel :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Effet famille : </w:t>
      </w:r>
      <w:r>
        <w:t xml:space="preserve">8/8 pivots positifs — pas un pick isolé issu du data-mining.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Stabilité régime : </w:t>
      </w:r>
      <w:r>
        <w:t xml:space="preserve">positif chaque année 2021–2026 (Sharpe 1,7–3,5), bear 2022 inclus.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Survit aux coûts ×2 : </w:t>
      </w:r>
      <w:r>
        <w:t xml:space="preserve">Sharpe 2,67 → 1,34 → 0,37 à ×1/×2/×3. Solide au double des coûts.</w:t>
      </w:r>
    </w:p>
    <w:p>
      <w:pPr>
        <w:spacing w:after="120" w:line="276"/>
      </w:pPr>
      <w:r>
        <w:t xml:space="preserve">Limites à intégrer avant tout live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Sensibilité aux coûts : </w:t>
      </w:r>
      <w:r>
        <w:t xml:space="preserve">le pivot-fade est de la mean-reversion à turnover modéré — plus sensible que le momentum. Prévoir une marge.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Slippage aux niveaux : </w:t>
      </w:r>
      <w:r>
        <w:t xml:space="preserve">les entrées se concentrent sur des niveaux pivots très surveillés → risque de sélection adverse en live, non capturé par le backtest. Planifier sur un Sharpe décoté ≈ 1,5 (niveau du stress ×2).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Multiple-testing : </w:t>
      </w:r>
      <w:r>
        <w:t xml:space="preserve">meilleur de 100 ; appliquer un DSR/haircut. L’effet famille atténue ce biais mais ne l’annule pas.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Échantillon : </w:t>
      </w:r>
      <w:r>
        <w:t xml:space="preserve">intraday indices US fiable depuis 2021 (~5,4 ans, mono-cycle).</w:t>
      </w:r>
    </w:p>
    <w:p>
      <w:pPr>
        <w:spacing w:after="120" w:line="276"/>
      </w:pPr>
      <w:r>
        <w:rPr>
          <w:b/>
          <w:bCs/>
        </w:rPr>
        <w:t xml:space="preserve">Recommandation : </w:t>
      </w:r>
      <w:r>
        <w:t xml:space="preserve">déployer le pivot-fade ensemble comme moteur principal et le super-combiné pour la robustesse ; viser l’étape 1 via le pivot-fade (médiane ~3–4 mois), l’étape 2 via le super-combiné. Valider en walk-forward continu et avec exécution papier avant capital réel.</w:t>
      </w:r>
    </w:p>
    <w:p>
      <w:r>
        <w:br w:type="page"/>
      </w:r>
    </w:p>
    <w:p>
      <w:pPr>
        <w:pStyle w:val="Heading1"/>
      </w:pPr>
      <w:r>
        <w:t xml:space="preserve">Annexe — Les 100 nouveaux candidats (triés par Sharpe)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1240"/>
        <w:gridCol w:w="1100"/>
        <w:gridCol w:w="940"/>
        <w:gridCol w:w="128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Candidat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Famille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Sharpe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PF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WR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Rdt/an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PIV_US100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pivot_fade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2.45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1.61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55%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0.2%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PIV_US30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pivot_fade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1.92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1.64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53%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0.2%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PIV_GBPUSD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pivot_fade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1.74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1.60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57%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13.0%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PIV_EURUSD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pivot_fade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1.69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1.37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57%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1.7%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VRM13_US30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vol_regime_mom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1.24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1.22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35%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3.2%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VRM11_US100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vol_regime_mom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1.14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1.21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31%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4.4%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PIV_XAUUSD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pivot_fade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1.14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1.24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49%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0.5%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VRM13_US100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vol_regime_mom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1.01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1.18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32%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4.3%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VRM11_US30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vol_regime_mom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0.98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1.17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34%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2.5%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PIV_US500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pivot_fade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1.25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55%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0.6%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F2L_US100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first_to_last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0.64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1.11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56%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1.9%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DRIVE3_US100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opening_drive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0.58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1.11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26%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2.4%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F2L_XAUUSD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first_to_last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0.54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1.10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50%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1.9%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DRIVE3_US30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opening_drive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0.28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1.05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25%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0.8%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F2Lb_XAUUSD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first_to_last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0.26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1.05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51%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0.8%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F2L_US30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first_to_last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0.25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1.04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51%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0.8%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DRIVE2_US500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opening_drive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0.24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1.04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28%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VRM13_XAUUSD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vol_regime_mom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1.03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37%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0.4%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F2L_US500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first_to_last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0.19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1.03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53%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0.6%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DRIVE2_US30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opening_drive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0.16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1.03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25%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0.4%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WD_US100_1130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window_drift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0.13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1.02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39%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0.4%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PIV_US2000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pivot_fade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0.11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1.03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50%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0.1%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PIV_GER40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pivot_fade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0.11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1.03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55%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0.0%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DRIVE2_US100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opening_drive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0.09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1.02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24%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0.4%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DRIVE3_XAUUSD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opening_drive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0.08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1.01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29%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0.2%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DRIVE2_XAUUSD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opening_drive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0.07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1.01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30%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0.2%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BB_US500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bollinger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0.02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1.00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45%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0.1%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DRIVE3_US500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opening_drive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0.02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1.00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27%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0.1%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PDLf_US100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prior_day_level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-0.01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1.00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42%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0.0%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WD_XAUUSD_1500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window_drift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-0.05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0.99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50%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-0.2%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DRIVE3_GER40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opening_drive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-0.06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0.99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24%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-0.2%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WD_US100_1500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window_drift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-0.14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0.98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51%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-0.4%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BB_XAUUSD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bollinger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-0.14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0.98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45%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-0.4%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WD_US30_1500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window_drift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-0.17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0.97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50%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-0.5%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VRM11_US500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vol_regime_mom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-0.18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0.97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31%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-0.3%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VRM13_US500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vol_regime_mom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-0.22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0.97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32%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-0.3%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F2Lb_US500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first_to_last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-0.23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0.96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50%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-0.7%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F2Lb_US100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first_to_last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-0.24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0.96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52%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-0.8%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VRM11_XAUUSD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vol_regime_mom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-0.25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0.96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35%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-0.6%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BB_US100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bollinger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-0.37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0.95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42%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-0.9%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PDLf_XAUUSD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prior_day_level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-0.37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0.95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40%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-0.8%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RSI2_USDJPY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rsi2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-0.37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0.95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51%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-0.9%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PDLb_US30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prior_day_level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-0.38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0.95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41%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-0.5%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F2L_US2000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first_to_last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-0.39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0.94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49%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-1.0%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VRM11_GER40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vol_regime_mom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-0.42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0.93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27%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-0.7%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DRIVE2_US2000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opening_drive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-0.43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0.92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22%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-0.9%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WD_US30_0930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window_drift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-0.45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0.93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50%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-0.9%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F2Lb_US30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first_to_last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-0.46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0.93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-1.2%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RSI2_XAUUSD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rsi2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-0.46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0.94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50%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-0.9%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PDLf_US30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prior_day_level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-0.47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0.94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40%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-1.0%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WD_US100_0930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window_drift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-0.49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0.92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49%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-0.9%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VRM11_US2000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vol_regime_mom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-0.50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0.92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27%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-0.8%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DRIVE3_US2000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opening_drive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-0.51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0.91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22%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-1.1%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WD_US500_1500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window_drift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-0.51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0.92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51%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-1.1%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WD_GER40_1630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window_drift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-0.56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0.91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47%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-1.6%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GAPC_US30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gap_continuation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-0.56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0.91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41%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-0.3%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RSI2_US30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rsi2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-0.61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0.93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49%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-1.0%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F2L_GER40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first_to_last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-0.62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0.90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49%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-0.9%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BB_EURUSD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bollinger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-0.69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0.91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44%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-1.3%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F2Lb_GER40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first_to_last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-0.71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0.89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-1.1%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GAPC_US2000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gap_continuation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-0.71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0.41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38%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-1.5%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DRIVE2_GER40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opening_drive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-0.72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0.88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22%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-1.0%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PDLf_US500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prior_day_level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-0.77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0.90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41%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-1.1%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BB_GBPUSD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bollinger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-0.78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0.90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43%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-1.5%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VRM13_GER40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vol_regime_mom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-0.79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0.87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27%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-1.0%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VRM13_US2000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vol_regime_mom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-0.82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0.87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26%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-1.1%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PDLb_XAUUSD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prior_day_level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-0.88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0.89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40%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-1.3%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WD_US500_0930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window_drift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-0.93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0.86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-1.2%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KELT_US30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keltner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-0.95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0.89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38%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-1.1%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KELT_US100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keltner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-0.99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0.88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40%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-1.4%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RSI2_EURUSD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rsi2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-1.01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0.88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51%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-1.2%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WD_US500_1130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window_drift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-1.02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0.85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37%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-1.4%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PDLb_US100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prior_day_level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-1.10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0.87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40%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-1.2%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KELT_USDJPY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keltner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-1.12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0.87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40%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-1.6%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BB_US30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bollinger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-1.12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0.86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39%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-1.5%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RSI2_US500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rsi2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-1.15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0.85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49%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-1.3%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PDLb_US500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prior_day_level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-1.30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0.84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41%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-1.2%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KELT_US500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keltner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-1.39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0.83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40%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-1.4%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KELT_XAUUSD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keltner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-1.40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0.83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37%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-1.3%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GAPC_GER40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gap_continuation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-1.42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0.47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38%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-1.6%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GAPC_US100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gap_continuation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-1.57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0.80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39%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-1.0%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PDLf_US2000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prior_day_level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-1.57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0.81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41%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-1.4%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RSI2_US100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rsi2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-1.58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0.82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-1.3%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RSI2_GBPUSD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rsi2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-1.60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0.82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49%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-2.2%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F2Lb_US2000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first_to_last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-1.67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0.76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46%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-1.5%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WD_US2000_1500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window_drift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-1.67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0.76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46%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-1.4%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KELT_GBPUSD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keltner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-1.70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0.81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39%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-2.1%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BB_US2000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bollinger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-1.92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0.77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39%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-1.4%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PDLf_GER40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prior_day_level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-1.93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0.78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41%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-1.5%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KELT_GER40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keltner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-1.94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0.78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40%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-1.5%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GAPC_US500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gap_continuation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-2.10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0.74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38%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-0.5%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KELT_EURUSD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keltner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-2.16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0.76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38%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-1.4%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RSI2_GER40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rsi2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-2.20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0.75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50%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-1.6%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PDLb_US2000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prior_day_level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-2.23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0.75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39%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-1.3%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BB_USDJPY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bollinger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-2.47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0.72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38%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-1.7%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KELT_US2000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keltner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-2.47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0.73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38%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-1.5%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BB_GER40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bollinger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-2.50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0.72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38%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-1.5%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PDLb_GER40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prior_day_level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-2.53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0.72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38%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-1.5%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RSI2_US2000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rsi2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-2.83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0.70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46%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-1.4%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WD_GER40_0900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window_drift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-5.51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0.42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35%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-1.8%</w:t>
            </w:r>
          </w:p>
        </w:tc>
      </w:tr>
    </w:tbl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Note de recherche — FTMO vague 2  ·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496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5aff9c721a4aa99eb831048a63d62b12ff15288.png"/><Relationship Id="rId9" Type="http://schemas.openxmlformats.org/officeDocument/2006/relationships/image" Target="media/75f2d33ce80efc4fc5a190e42485d5de6db2661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FTMO vague 2</dc:title>
  <dc:creator>Prodige</dc:creator>
  <cp:lastModifiedBy>Un-named</cp:lastModifiedBy>
  <cp:revision>1</cp:revision>
  <dcterms:created xsi:type="dcterms:W3CDTF">2026-06-04T11:52:43.529Z</dcterms:created>
  <dcterms:modified xsi:type="dcterms:W3CDTF">2026-06-04T11:52:43.529Z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