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MA200-Gated</w:t>
      </w:r>
      <w:r>
        <w:t xml:space="preserve"> </w:t>
      </w:r>
      <w:r>
        <w:t xml:space="preserve">Overnight</w:t>
      </w:r>
      <w:r>
        <w:t xml:space="preserve"> </w:t>
      </w:r>
      <w:r>
        <w:t xml:space="preserve">Equity-Drift</w:t>
      </w:r>
      <w:r>
        <w:t xml:space="preserve"> </w:t>
      </w:r>
      <w:r>
        <w:t xml:space="preserve">Harvester</w:t>
      </w:r>
    </w:p>
    <w:p>
      <w:pPr>
        <w:pStyle w:val="Subtitle"/>
      </w:pPr>
      <w:r>
        <w:t xml:space="preserve">Institutional</w:t>
      </w:r>
      <w:r>
        <w:t xml:space="preserve"> </w:t>
      </w:r>
      <w:r>
        <w:t xml:space="preserve">strategy</w:t>
      </w:r>
      <w:r>
        <w:t xml:space="preserve"> </w:t>
      </w:r>
      <w:r>
        <w:t xml:space="preserve">dossier</w:t>
      </w:r>
      <w:r>
        <w:t xml:space="preserve"> </w:t>
      </w:r>
      <w:r>
        <w:t xml:space="preserve">—</w:t>
      </w:r>
      <w:r>
        <w:t xml:space="preserve"> </w:t>
      </w:r>
      <w:r>
        <w:t xml:space="preserve">specification,</w:t>
      </w:r>
      <w:r>
        <w:t xml:space="preserve"> </w:t>
      </w:r>
      <w:r>
        <w:t xml:space="preserve">evidence,</w:t>
      </w:r>
      <w:r>
        <w:t xml:space="preserve"> </w:t>
      </w:r>
      <w:r>
        <w:t xml:space="preserve">and</w:t>
      </w:r>
      <w:r>
        <w:t xml:space="preserve"> </w:t>
      </w:r>
      <w:r>
        <w:t xml:space="preserve">deployment</w:t>
      </w:r>
      <w:r>
        <w:t xml:space="preserve"> </w:t>
      </w:r>
      <w:r>
        <w:t xml:space="preserve">protocol</w:t>
      </w:r>
      <w:r>
        <w:t xml:space="preserve"> </w:t>
      </w:r>
      <w:r>
        <w:t xml:space="preserve">for</w:t>
      </w:r>
      <w:r>
        <w:t xml:space="preserve"> </w:t>
      </w:r>
      <w:r>
        <w:t xml:space="preserve">FTMO</w:t>
      </w:r>
      <w:r>
        <w:t xml:space="preserve"> </w:t>
      </w:r>
      <w:r>
        <w:t xml:space="preserve">2-step</w:t>
      </w:r>
      <w:r>
        <w:t xml:space="preserve"> </w:t>
      </w:r>
      <w:r>
        <w:t xml:space="preserve">funding</w:t>
      </w:r>
    </w:p>
    <w:p>
      <w:pPr>
        <w:pStyle w:val="Author"/>
      </w:pPr>
      <w:r>
        <w:t xml:space="preserve">FTMO</w:t>
      </w:r>
      <w:r>
        <w:t xml:space="preserve"> </w:t>
      </w:r>
      <w:r>
        <w:t xml:space="preserve">Research</w:t>
      </w:r>
      <w:r>
        <w:t xml:space="preserve"> </w:t>
      </w:r>
      <w:r>
        <w:t xml:space="preserve">Arc</w:t>
      </w:r>
      <w:r>
        <w:t xml:space="preserve"> </w:t>
      </w:r>
      <w:r>
        <w:t xml:space="preserve">—</w:t>
      </w:r>
      <w:r>
        <w:t xml:space="preserve"> </w:t>
      </w:r>
      <w:r>
        <w:t xml:space="preserve">Quantitative</w:t>
      </w:r>
      <w:r>
        <w:t xml:space="preserve"> </w:t>
      </w:r>
      <w:r>
        <w:t xml:space="preserve">Strategy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ocument-purpose-classification"/>
      <w:r>
        <w:t xml:space="preserve">0. Document purpose &amp; classification</w:t>
      </w:r>
      <w:bookmarkEnd w:id="20"/>
    </w:p>
    <w:p>
      <w:pPr>
        <w:pStyle w:val="FirstParagraph"/>
      </w:pPr>
      <w:r>
        <w:t xml:space="preserve">This dossier is the</w:t>
      </w:r>
      <w:r>
        <w:t xml:space="preserve"> </w:t>
      </w:r>
      <w:r>
        <w:rPr>
          <w:b/>
        </w:rPr>
        <w:t xml:space="preserve">single source of truth</w:t>
      </w:r>
      <w:r>
        <w:t xml:space="preserve"> </w:t>
      </w:r>
      <w:r>
        <w:t xml:space="preserve">for the overnight equity-drift harvester. It contains everything a team needs to (a) understand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the strategy should work, (b) reproduce every backtest number from raw data, (c) validate it out-of-sample and in demo, and (d) deploy it to a live FTMO challenge with eyes open about its real costs and tail risks.</w:t>
      </w:r>
    </w:p>
    <w:p>
      <w:pPr>
        <w:pStyle w:val="BodyText"/>
      </w:pPr>
      <w:r>
        <w:rPr>
          <w:b/>
        </w:rPr>
        <w:t xml:space="preserve">Honesty contract.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</w:rPr>
        <w:t xml:space="preserve">beta-harvesting</w:t>
      </w:r>
      <w:r>
        <w:t xml:space="preserve"> </w:t>
      </w:r>
      <w:r>
        <w:t xml:space="preserve">strategy, not a market-neutral alpha. Its high pass probability is</w:t>
      </w:r>
      <w:r>
        <w:t xml:space="preserve"> </w:t>
      </w:r>
      <w:r>
        <w:rPr>
          <w:i/>
        </w:rPr>
        <w:t xml:space="preserve">earned by patience</w:t>
      </w:r>
      <w:r>
        <w:t xml:space="preserve"> </w:t>
      </w:r>
      <w:r>
        <w:t xml:space="preserve">(a multi-year, no-time-limit grind), not by a fast edge. Two material costs —</w:t>
      </w:r>
      <w:r>
        <w:t xml:space="preserve"> </w:t>
      </w:r>
      <w:r>
        <w:rPr>
          <w:b/>
        </w:rPr>
        <w:t xml:space="preserve">overnight financing (swap)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rare crash-from-highs tail</w:t>
      </w:r>
      <w:r>
        <w:t xml:space="preserve"> </w:t>
      </w:r>
      <w:r>
        <w:t xml:space="preserve">— are not yet fully priced in the headline numbers and are flagged throughout. Read §10 (limitations) before risking capital.</w:t>
      </w:r>
    </w:p>
    <w:p>
      <w:pPr>
        <w:pStyle w:val="BodyText"/>
      </w:pPr>
      <w:r>
        <w:rPr>
          <w:b/>
        </w:rPr>
        <w:t xml:space="preserve">Reproducibility.</w:t>
      </w:r>
      <w:r>
        <w:t xml:space="preserve"> </w:t>
      </w:r>
      <w:r>
        <w:t xml:space="preserve">Every figure and table below is regenerated by</w:t>
      </w:r>
      <w:r>
        <w:t xml:space="preserve"> </w:t>
      </w:r>
      <w:r>
        <w:rPr>
          <w:rStyle w:val="VerbatimChar"/>
        </w:rPr>
        <w:t xml:space="preserve">overnight_harvester.py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NQ_1min_databento_2010-2026.parquet</w:t>
      </w:r>
      <w:r>
        <w:t xml:space="preserve">. See §11.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rPr>
          <w:b/>
        </w:rPr>
        <w:t xml:space="preserve">The strategy.</w:t>
      </w:r>
      <w:r>
        <w:t xml:space="preserve"> </w:t>
      </w:r>
      <w:r>
        <w:t xml:space="preserve">Each trading day, if the index closed above its 200-day simple moving average, hold a long position</w:t>
      </w:r>
      <w:r>
        <w:t xml:space="preserve"> </w:t>
      </w:r>
      <w:r>
        <w:rPr>
          <w:b/>
        </w:rPr>
        <w:t xml:space="preserve">from the cash close to the next cash open</w:t>
      </w:r>
      <w:r>
        <w:t xml:space="preserve"> </w:t>
      </w:r>
      <w:r>
        <w:t xml:space="preserve">(overnight only), sized as a constant fraction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of equity. Otherwise stay flat. No time limit.</w:t>
      </w:r>
    </w:p>
    <w:p>
      <w:pPr>
        <w:pStyle w:val="BodyText"/>
      </w:pPr>
      <w:r>
        <w:rPr>
          <w:b/>
        </w:rPr>
        <w:t xml:space="preserve">The economic basis.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overnight equity risk premium</w:t>
      </w:r>
      <w:r>
        <w:t xml:space="preserve">: across decades and markets, the bulk of the equity index risk premium has accrued</w:t>
      </w:r>
      <w:r>
        <w:t xml:space="preserve"> </w:t>
      </w:r>
      <w:r>
        <w:rPr>
          <w:b/>
        </w:rPr>
        <w:t xml:space="preserve">overnight (close-to-open)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</w:rPr>
        <w:t xml:space="preserve">intraday (open-to-close)</w:t>
      </w:r>
      <w:r>
        <w:t xml:space="preserve">. We harvest it only while a slow trend filter says</w:t>
      </w:r>
      <w:r>
        <w:t xml:space="preserve"> </w:t>
      </w:r>
      <w:r>
        <w:t xml:space="preserve">“</w:t>
      </w:r>
      <w:r>
        <w:t xml:space="preserve">risk-on</w:t>
      </w:r>
      <w:r>
        <w:t xml:space="preserve">”</w:t>
      </w:r>
      <w:r>
        <w:t xml:space="preserve">, which sidesteps sustained bear markets.</w:t>
      </w:r>
    </w:p>
    <w:p>
      <w:pPr>
        <w:pStyle w:val="BodyText"/>
      </w:pPr>
      <w:r>
        <w:rPr>
          <w:b/>
        </w:rPr>
        <w:t xml:space="preserve">Headline result (clean contiguous backtest, NQ 2010–2026, net of 2 bps/night, no swap):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 2-step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bust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median time-to-funded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0.50×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88.3%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0.0%</w:t>
            </w:r>
          </w:p>
        </w:tc>
        <w:tc>
          <w:p>
            <w:pPr>
              <w:pStyle w:val="Compact"/>
              <w:jc w:val="right"/>
            </w:pPr>
            <w:r>
              <w:t xml:space="preserve">3.5 years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0.75×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81.5%</w:t>
            </w:r>
          </w:p>
        </w:tc>
        <w:tc>
          <w:p>
            <w:pPr>
              <w:pStyle w:val="Compact"/>
              <w:jc w:val="right"/>
            </w:pPr>
            <w:r>
              <w:t xml:space="preserve">9.2%</w:t>
            </w:r>
          </w:p>
        </w:tc>
        <w:tc>
          <w:p>
            <w:pPr>
              <w:pStyle w:val="Compact"/>
              <w:jc w:val="right"/>
            </w:pPr>
            <w:r>
              <w:t xml:space="preserve">2.4 years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1.00×</w:t>
            </w:r>
          </w:p>
        </w:tc>
        <w:tc>
          <w:p>
            <w:pPr>
              <w:pStyle w:val="Compact"/>
              <w:jc w:val="right"/>
            </w:pPr>
            <w:r>
              <w:t xml:space="preserve">66.0%</w:t>
            </w:r>
          </w:p>
        </w:tc>
        <w:tc>
          <w:p>
            <w:pPr>
              <w:pStyle w:val="Compact"/>
              <w:jc w:val="right"/>
            </w:pPr>
            <w:r>
              <w:t xml:space="preserve">29.5%</w:t>
            </w:r>
          </w:p>
        </w:tc>
        <w:tc>
          <w:p>
            <w:pPr>
              <w:pStyle w:val="Compact"/>
              <w:jc w:val="right"/>
            </w:pPr>
            <w:r>
              <w:t xml:space="preserve">1.6 years</w:t>
            </w:r>
          </w:p>
        </w:tc>
      </w:tr>
    </w:tbl>
    <w:p>
      <w:pPr>
        <w:pStyle w:val="BodyText"/>
      </w:pPr>
      <w:r>
        <w:rPr>
          <w:b/>
        </w:rPr>
        <w:t xml:space="preserve">The critical caveat — it does not pass in weeks.</w:t>
      </w:r>
      <w:r>
        <w:t xml:space="preserve"> </w:t>
      </w:r>
      <w:r>
        <w:t xml:space="preserve">p(pass within 1–10 weeks) ≈</w:t>
      </w:r>
      <w:r>
        <w:t xml:space="preserve"> </w:t>
      </w:r>
      <w:r>
        <w:rPr>
          <w:b/>
        </w:rPr>
        <w:t xml:space="preserve">0%</w:t>
      </w:r>
      <w:r>
        <w:t xml:space="preserve"> </w:t>
      </w:r>
      <w:r>
        <w:t xml:space="preserve">at every deployable sizing. This is structural first-passage math, not a tuning choice (see §7). The strategy’s entire viability rests on FTMO’s</w:t>
      </w:r>
      <w:r>
        <w:t xml:space="preserve"> </w:t>
      </w:r>
      <w:r>
        <w:rPr>
          <w:i/>
        </w:rPr>
        <w:t xml:space="preserve">no-time-limit</w:t>
      </w:r>
      <w:r>
        <w:t xml:space="preserve"> </w:t>
      </w:r>
      <w:r>
        <w:t xml:space="preserve">rule.</w:t>
      </w:r>
    </w:p>
    <w:p>
      <w:pPr>
        <w:pStyle w:val="BodyText"/>
      </w:pPr>
      <w:r>
        <w:rPr>
          <w:b/>
        </w:rPr>
        <w:t xml:space="preserve">Deployable verdict.</w:t>
      </w:r>
      <w:r>
        <w:t xml:space="preserve"> </w:t>
      </w:r>
      <w:r>
        <w:t xml:space="preserve">After a planning haircut for current-era swap and the un-sampled severe-crash tail, the honest deployable probability is</w:t>
      </w:r>
      <w:r>
        <w:t xml:space="preserve"> </w:t>
      </w:r>
      <w:r>
        <w:rPr>
          <w:b/>
        </w:rPr>
        <w:t xml:space="preserve">~70–80%</w:t>
      </w:r>
      <w:r>
        <w:t xml:space="preserve">, conditional on (i) a swap-free/Swing account and (ii) sizing ≤ 0.75× (ideally 0.5× for 0% historical bust). This is the most credible FTMO vehicle found in the entire research arc — but it is a years-long commitment to a leveraged-beta position.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strategy-thesis-economic-rationale"/>
      <w:r>
        <w:t xml:space="preserve">2. Strategy thesis &amp; economic rationale</w:t>
      </w:r>
      <w:bookmarkEnd w:id="22"/>
    </w:p>
    <w:p>
      <w:pPr>
        <w:pStyle w:val="Heading2"/>
      </w:pPr>
      <w:bookmarkStart w:id="23" w:name="the-overnight-equity-premium"/>
      <w:r>
        <w:t xml:space="preserve">2.1 The overnight equity premium</w:t>
      </w:r>
      <w:bookmarkEnd w:id="23"/>
    </w:p>
    <w:p>
      <w:pPr>
        <w:pStyle w:val="FirstParagraph"/>
      </w:pPr>
      <w:r>
        <w:t xml:space="preserve">Decompose the daily total return of an equity index into two non-overlapping pieces:</w:t>
      </w:r>
    </w:p>
    <w:p>
      <w:pPr>
        <w:pStyle w:val="SourceCode"/>
      </w:pPr>
      <w:r>
        <w:rPr>
          <w:rStyle w:val="VerbatimChar"/>
        </w:rPr>
        <w:t xml:space="preserve">  r_close-to-close(t)  ≈  r_overnight(t)  +  r_intraday(t)</w:t>
      </w:r>
      <w:r>
        <w:br/>
      </w:r>
      <w:r>
        <w:rPr>
          <w:rStyle w:val="VerbatimChar"/>
        </w:rPr>
        <w:t xml:space="preserve">  r_overnight(t) = open(t) / close(t-1) − 1      (close → next open)</w:t>
      </w:r>
      <w:r>
        <w:br/>
      </w:r>
      <w:r>
        <w:rPr>
          <w:rStyle w:val="VerbatimChar"/>
        </w:rPr>
        <w:t xml:space="preserve">  r_intraday(t)  = close(t) / open(t)   − 1      (open → close)</w:t>
      </w:r>
    </w:p>
    <w:p>
      <w:pPr>
        <w:pStyle w:val="FirstParagraph"/>
      </w:pPr>
      <w:r>
        <w:t xml:space="preserve">A robust, widely-replicated empirical fact is that</w:t>
      </w:r>
      <w:r>
        <w:t xml:space="preserve"> </w:t>
      </w:r>
      <w:r>
        <w:rPr>
          <w:b/>
        </w:rPr>
        <w:t xml:space="preserve">the overnight component carries most (often essentially all) of the long-run equity risk premium</w:t>
      </w:r>
      <w:r>
        <w:t xml:space="preserve">, while the intraday component is roughly flat or negative over long horizons. This is not a microstructure artifact: it survives in liquid futures and cash indices, across countries, and over decades.</w:t>
      </w:r>
    </w:p>
    <w:p>
      <w:pPr>
        <w:pStyle w:val="BodyText"/>
      </w:pPr>
      <w:r>
        <w:rPr>
          <w:b/>
        </w:rPr>
        <w:t xml:space="preserve">Why it plausibly exists (candidate mechanisms, not mutually exclusive):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Overnight risk compensation / gap risk.</w:t>
      </w:r>
      <w:r>
        <w:t xml:space="preserve"> </w:t>
      </w:r>
      <w:r>
        <w:t xml:space="preserve">Holders across the close bear un-hedgeable overnight gap risk (no trading, news arrives) and are compensated with positive expected return.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Inventory &amp; dealer behavior.</w:t>
      </w:r>
      <w:r>
        <w:t xml:space="preserve"> </w:t>
      </w:r>
      <w:r>
        <w:t xml:space="preserve">Market makers and levered intraday traders flatten into the close to avoid carrying inventory overnight, depressing closing prices and lifting opens.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Demand for liquidity / closing imbalances.</w:t>
      </w:r>
      <w:r>
        <w:t xml:space="preserve"> </w:t>
      </w:r>
      <w:r>
        <w:t xml:space="preserve">Index funds and ETFs transact near the close; systematic close-auction flows can bias close-to-open returns.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Information &amp; sentiment.</w:t>
      </w:r>
      <w:r>
        <w:t xml:space="preserve"> </w:t>
      </w:r>
      <w:r>
        <w:t xml:space="preserve">Firm-specific and macro information released after hours is impounded at the open.</w:t>
      </w:r>
    </w:p>
    <w:p>
      <w:pPr>
        <w:pStyle w:val="FirstParagraph"/>
      </w:pPr>
      <w:r>
        <w:t xml:space="preserve">For our purposes, the</w:t>
      </w:r>
      <w:r>
        <w:t xml:space="preserve"> </w:t>
      </w:r>
      <w:r>
        <w:rPr>
          <w:i/>
        </w:rPr>
        <w:t xml:space="preserve">mechanism</w:t>
      </w:r>
      <w:r>
        <w:t xml:space="preserve"> </w:t>
      </w:r>
      <w:r>
        <w:t xml:space="preserve">matters less than the</w:t>
      </w:r>
      <w:r>
        <w:t xml:space="preserve"> </w:t>
      </w:r>
      <w:r>
        <w:rPr>
          <w:i/>
        </w:rPr>
        <w:t xml:space="preserve">robustness</w:t>
      </w:r>
      <w:r>
        <w:t xml:space="preserve">: the premium is one of the most replicated anomalies in equity markets, it is structural rather than crowded-out-able (it is risk-bearing, not an arbitrage), and it is positive in the large majority of years. See §13 for literature.</w:t>
      </w:r>
    </w:p>
    <w:p>
      <w:pPr>
        <w:pStyle w:val="Heading2"/>
      </w:pPr>
      <w:bookmarkStart w:id="24" w:name="why-gate-it-with-a-200-day-trend-filter"/>
      <w:r>
        <w:t xml:space="preserve">2.2 Why gate it with a 200-day trend filter</w:t>
      </w:r>
      <w:bookmarkEnd w:id="24"/>
    </w:p>
    <w:p>
      <w:pPr>
        <w:pStyle w:val="FirstParagraph"/>
      </w:pPr>
      <w:r>
        <w:t xml:space="preserve">The raw overnight premium is</w:t>
      </w:r>
      <w:r>
        <w:t xml:space="preserve"> </w:t>
      </w:r>
      <w:r>
        <w:rPr>
          <w:b/>
        </w:rPr>
        <w:t xml:space="preserve">positive on average but is long equity beta</w:t>
      </w:r>
      <w:r>
        <w:t xml:space="preserve"> </w:t>
      </w:r>
      <w:r>
        <w:t xml:space="preserve">— it suffers in sustained bear markets, exactly when overnight gaps turn negative and cluster. The FTMO barrier is unforgiving of clustered losses (a 10% total-loss floor). A slow trend filter (close &gt; 200-day SMA) does one thing extremely well: it</w:t>
      </w:r>
      <w:r>
        <w:t xml:space="preserve"> </w:t>
      </w:r>
      <w:r>
        <w:rPr>
          <w:b/>
        </w:rPr>
        <w:t xml:space="preserve">takes the strategy flat for the duration of sustained downtrends</w:t>
      </w:r>
      <w:r>
        <w:t xml:space="preserve">, which are the regime that would otherwise breach the floor.</w:t>
      </w:r>
    </w:p>
    <w:p>
      <w:pPr>
        <w:pStyle w:val="BodyText"/>
      </w:pPr>
      <w:r>
        <w:t xml:space="preserve">The gate is deliberately</w:t>
      </w:r>
      <w:r>
        <w:t xml:space="preserve"> </w:t>
      </w:r>
      <w:r>
        <w:rPr>
          <w:i/>
        </w:rPr>
        <w:t xml:space="preserve">slow and lagging</w:t>
      </w:r>
      <w:r>
        <w:t xml:space="preserve">. We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trying to time tops — that is not forecastable (established separately in our regime work: the favorable state is weakly</w:t>
      </w:r>
      <w:r>
        <w:t xml:space="preserve"> </w:t>
      </w:r>
      <w:r>
        <w:rPr>
          <w:i/>
        </w:rPr>
        <w:t xml:space="preserve">nowcastable</w:t>
      </w:r>
      <w:r>
        <w:t xml:space="preserve"> </w:t>
      </w:r>
      <w:r>
        <w:t xml:space="preserve">but its transitions are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forecastable). We accept being late on every turn in exchange for sitting out the bulk of multi-month bears. The evidence (§8) shows this works: in 2022 the gate was on for only</w:t>
      </w:r>
      <w:r>
        <w:t xml:space="preserve"> </w:t>
      </w:r>
      <w:r>
        <w:rPr>
          <w:b/>
        </w:rPr>
        <w:t xml:space="preserve">17 of ~250 nights</w:t>
      </w:r>
      <w:r>
        <w:t xml:space="preserve"> </w:t>
      </w:r>
      <w:r>
        <w:t xml:space="preserve">while the index fell 33%.</w:t>
      </w:r>
    </w:p>
    <w:p>
      <w:pPr>
        <w:pStyle w:val="Heading2"/>
      </w:pPr>
      <w:bookmarkStart w:id="25" w:name="X4c077c5243b8b9d280ffc1677877d5b88ee8dad"/>
      <w:r>
        <w:t xml:space="preserve">2.3 Why this fits the FTMO problem specifically</w:t>
      </w:r>
      <w:bookmarkEnd w:id="25"/>
    </w:p>
    <w:p>
      <w:pPr>
        <w:pStyle w:val="FirstParagraph"/>
      </w:pPr>
      <w:r>
        <w:t xml:space="preserve">The FTMO 2-step challenge is a</w:t>
      </w:r>
      <w:r>
        <w:t xml:space="preserve"> </w:t>
      </w:r>
      <w:r>
        <w:rPr>
          <w:b/>
        </w:rPr>
        <w:t xml:space="preserve">first-passage / barrier problem</w:t>
      </w:r>
      <w:r>
        <w:t xml:space="preserve">: reach +10% (Phase 1) and +5% (Phase 2) before hitting a −5% daily or −10% total loss. Under such a barrier, the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of the return distribution matters as much as its mean:</w:t>
      </w:r>
    </w:p>
    <w:p>
      <w:pPr>
        <w:numPr>
          <w:ilvl w:val="0"/>
          <w:numId w:val="1002"/>
        </w:numPr>
        <w:pStyle w:val="Compact"/>
      </w:pPr>
      <w:r>
        <w:t xml:space="preserve">A high win-rate, low-per-night-volatility, mildly-negative-skew stream (our overnight series: 56% hit-rate, ~0.66% nightly σ, skew −0.76) drifts upward smoothly and rarely takes a single catastrophic step —</w:t>
      </w:r>
      <w:r>
        <w:t xml:space="preserve"> </w:t>
      </w:r>
      <w:r>
        <w:rPr>
          <w:b/>
        </w:rPr>
        <w:t xml:space="preserve">except</w:t>
      </w:r>
      <w:r>
        <w:t xml:space="preserve"> </w:t>
      </w:r>
      <w:r>
        <w:t xml:space="preserve">the fast-crash tail.</w:t>
      </w:r>
    </w:p>
    <w:p>
      <w:pPr>
        <w:numPr>
          <w:ilvl w:val="0"/>
          <w:numId w:val="1002"/>
        </w:numPr>
        <w:pStyle w:val="Compact"/>
      </w:pPr>
      <w:r>
        <w:t xml:space="preserve">With</w:t>
      </w:r>
      <w:r>
        <w:t xml:space="preserve"> </w:t>
      </w:r>
      <w:r>
        <w:rPr>
          <w:b/>
        </w:rPr>
        <w:t xml:space="preserve">no time limit</w:t>
      </w:r>
      <w:r>
        <w:t xml:space="preserve">, the first-passage probability for any positive-drift process can be pushed arbitrarily close to 1 by</w:t>
      </w:r>
      <w:r>
        <w:t xml:space="preserve"> </w:t>
      </w:r>
      <w:r>
        <w:rPr>
          <w:b/>
        </w:rPr>
        <w:t xml:space="preserve">reducing per-trade size</w:t>
      </w:r>
      <w:r>
        <w:t xml:space="preserve"> </w:t>
      </w:r>
      <w:r>
        <w:t xml:space="preserve">(which shrinks the volatility-to-drift ratio and the chance of touching the lower barrier). This is the core lever:</w:t>
      </w:r>
      <w:r>
        <w:t xml:space="preserve"> </w:t>
      </w:r>
      <w:r>
        <w:rPr>
          <w:i/>
        </w:rPr>
        <w:t xml:space="preserve">small size + patience + positive drift → high p(pass)</w:t>
      </w:r>
      <w:r>
        <w:t xml:space="preserve">, paid for in time.</w:t>
      </w:r>
    </w:p>
    <w:p>
      <w:pPr>
        <w:pStyle w:val="FirstParagraph"/>
      </w:pPr>
      <w:r>
        <w:t xml:space="preserve">This is why the strategy is</w:t>
      </w:r>
      <w:r>
        <w:t xml:space="preserve"> </w:t>
      </w:r>
      <w:r>
        <w:rPr>
          <w:i/>
        </w:rPr>
        <w:t xml:space="preserve">engineered</w:t>
      </w:r>
      <w:r>
        <w:t xml:space="preserve"> </w:t>
      </w:r>
      <w:r>
        <w:t xml:space="preserve">the way it is: a structurally-positive-drift beta (overnight premium), de-risked of its worst regime (trend gate), and sized small to exploit the no-time-limit barrier geometry.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197df99808361aa7793c2e9884ace4056027de3"/>
      <w:r>
        <w:t xml:space="preserve">3. The construction process (how we got here — the honest arc)</w:t>
      </w:r>
      <w:bookmarkEnd w:id="26"/>
    </w:p>
    <w:p>
      <w:pPr>
        <w:pStyle w:val="FirstParagraph"/>
      </w:pPr>
      <w:r>
        <w:t xml:space="preserve">This strategy is the</w:t>
      </w:r>
      <w:r>
        <w:t xml:space="preserve"> </w:t>
      </w:r>
      <w:r>
        <w:rPr>
          <w:b/>
        </w:rPr>
        <w:t xml:space="preserve">survivor of an elimination tournament</w:t>
      </w:r>
      <w:r>
        <w:t xml:space="preserve">, not a first guess. The path matters because it tells you what</w:t>
      </w:r>
      <w:r>
        <w:t xml:space="preserve"> </w:t>
      </w:r>
      <w:r>
        <w:rPr>
          <w:i/>
        </w:rPr>
        <w:t xml:space="preserve">doesn’t</w:t>
      </w:r>
      <w:r>
        <w:t xml:space="preserve"> </w:t>
      </w:r>
      <w:r>
        <w:t xml:space="preserve">work and why this one is different.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FX majors (start).</w:t>
      </w:r>
      <w:r>
        <w:t xml:space="preserve"> </w:t>
      </w:r>
      <w:r>
        <w:t xml:space="preserve">Mean-reversion and breakout on EUR/USD, GBP/USD, etc. — efficient; no edge survived realistic bps costs.</w:t>
      </w:r>
      <w:r>
        <w:t xml:space="preserve"> </w:t>
      </w:r>
      <w:r>
        <w:rPr>
          <w:i/>
        </w:rPr>
        <w:t xml:space="preserve">Rejected (cost gate).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spurious +9.4R EUR/GBP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edge.</w:t>
      </w:r>
      <w:r>
        <w:rPr>
          <w:b/>
        </w:rPr>
        <w:t xml:space="preserve">”</w:t>
      </w:r>
      <w:r>
        <w:t xml:space="preserve"> </w:t>
      </w:r>
      <w:r>
        <w:t xml:space="preserve">Diagnosed as a data-feed desync artifact (contemporaneous correlation 0.006 vs 0.689 same-source); collapsed to −2R on clean data and failed a 1-bar entry-delay test.</w:t>
      </w:r>
      <w:r>
        <w:t xml:space="preserve"> </w:t>
      </w:r>
      <w:r>
        <w:rPr>
          <w:i/>
        </w:rPr>
        <w:t xml:space="preserve">Killed — and it established our standard anti-artifact tool: the delay-sensitivity test (a real edge survives a 1-bar delay; artifacts collapse).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Index/gold intraday families — a systematic L24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shape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scan.</w:t>
      </w:r>
      <w:r>
        <w:t xml:space="preserve"> </w:t>
      </w:r>
      <w:r>
        <w:t xml:space="preserve">Under the symmetric FTMO barrier, both tail-lumpy positive-skew (breakout) and negative-skew (mean-reversion) distributions fail. We scanned mean-reversion, opening-range breakout (plain and partial-take-profit), stat-arb, carry, and intraday momentum.</w:t>
      </w:r>
      <w:r>
        <w:t xml:space="preserve"> </w:t>
      </w:r>
      <w:r>
        <w:rPr>
          <w:b/>
        </w:rPr>
        <w:t xml:space="preserve">Finding:</w:t>
      </w:r>
      <w:r>
        <w:t xml:space="preserve"> </w:t>
      </w:r>
      <w:r>
        <w:t xml:space="preserve">reshaping the exit</w:t>
      </w:r>
      <w:r>
        <w:t xml:space="preserve"> </w:t>
      </w:r>
      <w:r>
        <w:rPr>
          <w:i/>
        </w:rPr>
        <w:t xml:space="preserve">fixes the distribution</w:t>
      </w:r>
      <w:r>
        <w:t xml:space="preserve"> </w:t>
      </w:r>
      <w:r>
        <w:t xml:space="preserve">(breakout skew +1.64 → +0.39) but</w:t>
      </w:r>
      <w:r>
        <w:t xml:space="preserve"> </w:t>
      </w:r>
      <w:r>
        <w:rPr>
          <w:b/>
        </w:rPr>
        <w:t xml:space="preserve">cannot manufacture EV</w:t>
      </w:r>
      <w:r>
        <w:t xml:space="preserve"> </w:t>
      </w:r>
      <w:r>
        <w:t xml:space="preserve">— p(funded) stayed ~31% because mean-R ≈ 0.</w:t>
      </w:r>
      <w:r>
        <w:t xml:space="preserve"> </w:t>
      </w:r>
      <w:r>
        <w:rPr>
          <w:i/>
        </w:rPr>
        <w:t xml:space="preserve">All rejected (no positive EV across regimes).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Intraday momentum</w:t>
      </w:r>
      <w:r>
        <w:t xml:space="preserve"> </w:t>
      </w:r>
      <w:r>
        <w:t xml:space="preserve">was the lone candidate to clear the shape sieve, but the deep battery exposed it as</w:t>
      </w:r>
      <w:r>
        <w:t xml:space="preserve"> </w:t>
      </w:r>
      <w:r>
        <w:rPr>
          <w:b/>
        </w:rPr>
        <w:t xml:space="preserve">one-sided</w:t>
      </w:r>
      <w:r>
        <w:t xml:space="preserve">: the long signal made +1.50 bps, the short side −0.84 bps. It was the</w:t>
      </w:r>
      <w:r>
        <w:t xml:space="preserve"> </w:t>
      </w:r>
      <w:r>
        <w:rPr>
          <w:i/>
        </w:rPr>
        <w:t xml:space="preserve">intraday</w:t>
      </w:r>
      <w:r>
        <w:t xml:space="preserve"> </w:t>
      </w:r>
      <w:r>
        <w:t xml:space="preserve">equity drift — beta, positive in only 8/17 years.</w:t>
      </w:r>
      <w:r>
        <w:t xml:space="preserve"> </w:t>
      </w:r>
      <w:r>
        <w:rPr>
          <w:i/>
        </w:rPr>
        <w:t xml:space="preserve">Rejected as a robust edge, but it pointed at the answer: the one consistently-directional thing in equity indices is the long drift.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Convergence on the overnight premium.</w:t>
      </w:r>
      <w:r>
        <w:t xml:space="preserve"> </w:t>
      </w:r>
      <w:r>
        <w:t xml:space="preserve">Following the drift to its strongest form — the</w:t>
      </w:r>
      <w:r>
        <w:t xml:space="preserve"> </w:t>
      </w:r>
      <w:r>
        <w:rPr>
          <w:b/>
        </w:rPr>
        <w:t xml:space="preserve">overnight</w:t>
      </w:r>
      <w:r>
        <w:t xml:space="preserve"> </w:t>
      </w:r>
      <w:r>
        <w:t xml:space="preserve">(not intraday) component, gated by trend, sized small, with no time limit — produced the first vehicle with a high pass probability.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methodological error we caught and corrected.</w:t>
      </w:r>
      <w:r>
        <w:t xml:space="preserve"> </w:t>
      </w:r>
      <w:r>
        <w:t xml:space="preserve">An early evaluation dismissed the 82% result as a</w:t>
      </w:r>
      <w:r>
        <w:t xml:space="preserve"> </w:t>
      </w:r>
      <w:r>
        <w:t xml:space="preserve">“</w:t>
      </w:r>
      <w:r>
        <w:t xml:space="preserve">bull-market artifact</w:t>
      </w:r>
      <w:r>
        <w:t xml:space="preserve">”</w:t>
      </w:r>
      <w:r>
        <w:t xml:space="preserve">, citing p(funded) 4–15%. That refutation was</w:t>
      </w:r>
      <w:r>
        <w:t xml:space="preserve"> </w:t>
      </w:r>
      <w:r>
        <w:rPr>
          <w:b/>
        </w:rPr>
        <w:t xml:space="preserve">wrong</w:t>
      </w:r>
      <w:r>
        <w:t xml:space="preserve"> </w:t>
      </w:r>
      <w:r>
        <w:t xml:space="preserve">and was retracted: it used an</w:t>
      </w:r>
      <w:r>
        <w:t xml:space="preserve"> </w:t>
      </w:r>
      <w:r>
        <w:rPr>
          <w:b/>
        </w:rPr>
        <w:t xml:space="preserve">IID bootstrap</w:t>
      </w:r>
      <w:r>
        <w:t xml:space="preserve"> </w:t>
      </w:r>
      <w:r>
        <w:t xml:space="preserve">(which destroys regime</w:t>
      </w:r>
      <w:r>
        <w:t xml:space="preserve"> </w:t>
      </w:r>
      <w:r>
        <w:rPr>
          <w:i/>
        </w:rPr>
        <w:t xml:space="preserve">clustering</w:t>
      </w:r>
      <w:r>
        <w:t xml:space="preserve"> </w:t>
      </w:r>
      <w:r>
        <w:t xml:space="preserve">— it sprinkles bear days into every path, so the gate can never</w:t>
      </w:r>
      <w:r>
        <w:t xml:space="preserve"> </w:t>
      </w:r>
      <w:r>
        <w:t xml:space="preserve">“</w:t>
      </w:r>
      <w:r>
        <w:t xml:space="preserve">sit out</w:t>
      </w:r>
      <w:r>
        <w:t xml:space="preserve">”</w:t>
      </w:r>
      <w:r>
        <w:t xml:space="preserve"> </w:t>
      </w:r>
      <w:r>
        <w:t xml:space="preserve">a contiguous bear) and a</w:t>
      </w:r>
      <w:r>
        <w:t xml:space="preserve"> </w:t>
      </w:r>
      <w:r>
        <w:rPr>
          <w:b/>
        </w:rPr>
        <w:t xml:space="preserve">contaminated daily panel</w:t>
      </w:r>
      <w:r>
        <w:t xml:space="preserve"> </w:t>
      </w:r>
      <w:r>
        <w:t xml:space="preserve">(unreliable pre-2010 opens producing spurious busts in calm years). The correct test is a</w:t>
      </w:r>
      <w:r>
        <w:t xml:space="preserve"> </w:t>
      </w:r>
      <w:r>
        <w:rPr>
          <w:b/>
        </w:rPr>
        <w:t xml:space="preserve">contiguous real-path simulation on clean intraday-derived data</w:t>
      </w:r>
      <w:r>
        <w:t xml:space="preserve">, which still contains real stress (COVID-2020, 2022). That corrected test is this dossier.</w:t>
      </w:r>
    </w:p>
    <w:p>
      <w:pPr>
        <w:pStyle w:val="FirstParagraph"/>
      </w:pPr>
      <w:r>
        <w:rPr>
          <w:b/>
        </w:rPr>
        <w:t xml:space="preserve">Principles that survived and now govern this work: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look-ahead, ever.</w:t>
      </w:r>
      <w:r>
        <w:t xml:space="preserve"> </w:t>
      </w:r>
      <w:r>
        <w:t xml:space="preserve">Gate decisions use only information available at the decision time; we prove it in §5.3.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Delay-sensitivity test</w:t>
      </w:r>
      <w:r>
        <w:t xml:space="preserve"> </w:t>
      </w:r>
      <w:r>
        <w:t xml:space="preserve">for every candidate edge.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Contiguous real paths, not IID bootstraps</w:t>
      </w:r>
      <w:r>
        <w:t xml:space="preserve">, whenever regime clustering matters (it always does for a gated strategy).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Nowcast ≠ forecast.</w:t>
      </w:r>
      <w:r>
        <w:t xml:space="preserve"> </w:t>
      </w:r>
      <w:r>
        <w:t xml:space="preserve">We size</w:t>
      </w:r>
      <w:r>
        <w:t xml:space="preserve"> </w:t>
      </w:r>
      <w:r>
        <w:rPr>
          <w:i/>
        </w:rPr>
        <w:t xml:space="preserve">reactively</w:t>
      </w:r>
      <w:r>
        <w:t xml:space="preserve"> </w:t>
      </w:r>
      <w:r>
        <w:t xml:space="preserve">to the realized regime; we never claim to predict transitions.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First-passage framing</w:t>
      </w:r>
      <w:r>
        <w:t xml:space="preserve"> </w:t>
      </w:r>
      <w:r>
        <w:t xml:space="preserve">for the FTMO objective, with</w:t>
      </w:r>
      <w:r>
        <w:t xml:space="preserve"> </w:t>
      </w:r>
      <w:r>
        <w:rPr>
          <w:b/>
        </w:rPr>
        <w:t xml:space="preserve">size as the primary risk lever</w:t>
      </w:r>
      <w:r>
        <w:t xml:space="preserve"> </w:t>
      </w:r>
      <w:r>
        <w:t xml:space="preserve">under no time limit.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No signal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a valid, valuable result.</w:t>
      </w:r>
      <w:r>
        <w:t xml:space="preserve"> </w:t>
      </w:r>
      <w:r>
        <w:t xml:space="preserve">Most of the arc is rejections; this is the one survivor, and we present it with its costs intact.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data-specification"/>
      <w:r>
        <w:t xml:space="preserve">4. Data specification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p>
            <w:pPr>
              <w:pStyle w:val="Compact"/>
              <w:jc w:val="left"/>
            </w:pPr>
            <w:r>
              <w:t xml:space="preserve">NQ (E-mini Nasdaq-100 futures), used as proxy for the US100 cash index CFD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Databento, 1-minute OHLCV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Span</w:t>
            </w:r>
          </w:p>
        </w:tc>
        <w:tc>
          <w:p>
            <w:pPr>
              <w:pStyle w:val="Compact"/>
              <w:jc w:val="left"/>
            </w:pPr>
            <w:r>
              <w:t xml:space="preserve">2010-06-07 → 2026-05-29 (4,041 trading days after filtering)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size</w:t>
            </w:r>
          </w:p>
        </w:tc>
        <w:tc>
          <w:p>
            <w:pPr>
              <w:pStyle w:val="Compact"/>
              <w:jc w:val="left"/>
            </w:pPr>
            <w:r>
              <w:t xml:space="preserve">~5.12M 1-minute bars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open, high, low, close, volume, symbol, is_roll_day, is_rth</w:t>
            </w:r>
            <w:r>
              <w:t xml:space="preserve">; index =</w:t>
            </w:r>
            <w:r>
              <w:t xml:space="preserve"> </w:t>
            </w:r>
            <w:r>
              <w:rPr>
                <w:rStyle w:val="VerbatimChar"/>
              </w:rPr>
              <w:t xml:space="preserve">timestamp_utc</w:t>
            </w:r>
            <w:r>
              <w:t xml:space="preserve"> </w:t>
            </w:r>
            <w:r>
              <w:t xml:space="preserve">(tz-aware UTC)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is_rth == True</w:t>
            </w:r>
            <w:r>
              <w:t xml:space="preserve"> </w:t>
            </w:r>
            <w:r>
              <w:t xml:space="preserve">(regular trading hours)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is_roll_day == False</w:t>
            </w:r>
            <w:r>
              <w:t xml:space="preserve"> </w:t>
            </w:r>
            <w:r>
              <w:t xml:space="preserve">(exclude contract-roll days)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reduction</w:t>
            </w:r>
          </w:p>
        </w:tc>
        <w:tc>
          <w:p>
            <w:pPr>
              <w:pStyle w:val="Compact"/>
              <w:jc w:val="left"/>
            </w:pPr>
            <w:r>
              <w:t xml:space="preserve">convert to</w:t>
            </w:r>
            <w:r>
              <w:t xml:space="preserve"> </w:t>
            </w:r>
            <w:r>
              <w:rPr>
                <w:rStyle w:val="VerbatimChar"/>
              </w:rPr>
              <w:t xml:space="preserve">US/Eastern</w:t>
            </w:r>
            <w:r>
              <w:t xml:space="preserve">; per session date:</w:t>
            </w:r>
            <w:r>
              <w:t xml:space="preserve"> </w:t>
            </w:r>
            <w:r>
              <w:rPr>
                <w:rStyle w:val="VerbatimChar"/>
              </w:rPr>
              <w:t xml:space="preserve">O = first RTH bar 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 = last RTH bar close</w:t>
            </w:r>
          </w:p>
        </w:tc>
      </w:tr>
    </w:tbl>
    <w:p>
      <w:pPr>
        <w:pStyle w:val="BodyText"/>
      </w:pPr>
      <w:r>
        <w:rPr>
          <w:b/>
        </w:rPr>
        <w:t xml:space="preserve">Timezone discipline (a recurring trap).</w:t>
      </w:r>
      <w:r>
        <w:t xml:space="preserve"> </w:t>
      </w:r>
      <w:r>
        <w:t xml:space="preserve">The Databento export is true UTC with explicit</w:t>
      </w:r>
      <w:r>
        <w:t xml:space="preserve"> </w:t>
      </w:r>
      <w:r>
        <w:rPr>
          <w:rStyle w:val="VerbatimChar"/>
        </w:rPr>
        <w:t xml:space="preserve">is_rth</w:t>
      </w:r>
      <w:r>
        <w:t xml:space="preserve">/</w:t>
      </w:r>
      <w:r>
        <w:rPr>
          <w:rStyle w:val="VerbatimChar"/>
        </w:rPr>
        <w:t xml:space="preserve">is_roll_day</w:t>
      </w:r>
      <w:r>
        <w:t xml:space="preserve"> </w:t>
      </w:r>
      <w:r>
        <w:t xml:space="preserve">flags — clean. By contrast, MT5/broker exports are in broker EET (UTC+2/+3), where the US cash open appears at 16:30 in the data, not 09:30. Any replication on broker data must re-derive sessions in the correct timezone.</w:t>
      </w:r>
    </w:p>
    <w:p>
      <w:pPr>
        <w:pStyle w:val="BodyText"/>
      </w:pPr>
      <w:r>
        <w:rPr>
          <w:b/>
        </w:rPr>
        <w:t xml:space="preserve">Data-quality lesson (do not repeat).</w:t>
      </w:r>
      <w:r>
        <w:t xml:space="preserve"> </w:t>
      </w:r>
      <w:r>
        <w:t xml:space="preserve">A daily index panel built from a free vendor had</w:t>
      </w:r>
      <w:r>
        <w:t xml:space="preserve"> </w:t>
      </w:r>
      <w:r>
        <w:rPr>
          <w:b/>
        </w:rPr>
        <w:t xml:space="preserve">unreliable open/close before 2010</w:t>
      </w:r>
      <w:r>
        <w:t xml:space="preserve">, which produced spurious overnight gaps and false busts in</w:t>
      </w:r>
      <w:r>
        <w:t xml:space="preserve"> </w:t>
      </w:r>
      <w:r>
        <w:rPr>
          <w:i/>
        </w:rPr>
        <w:t xml:space="preserve">calm</w:t>
      </w:r>
      <w:r>
        <w:t xml:space="preserve"> </w:t>
      </w:r>
      <w:r>
        <w:t xml:space="preserve">years — the exact contamination that drove the retracted</w:t>
      </w:r>
      <w:r>
        <w:t xml:space="preserve"> </w:t>
      </w:r>
      <w:r>
        <w:t xml:space="preserve">“</w:t>
      </w:r>
      <w:r>
        <w:t xml:space="preserve">4–15%</w:t>
      </w:r>
      <w:r>
        <w:t xml:space="preserve">”</w:t>
      </w:r>
      <w:r>
        <w:t xml:space="preserve"> </w:t>
      </w:r>
      <w:r>
        <w:t xml:space="preserve">claim.</w:t>
      </w:r>
      <w:r>
        <w:t xml:space="preserve"> </w:t>
      </w:r>
      <w:r>
        <w:rPr>
          <w:b/>
        </w:rPr>
        <w:t xml:space="preserve">For overnight strategies, the close-to-open boundary must come from clean intraday data</w:t>
      </w:r>
      <w:r>
        <w:t xml:space="preserve">, not vendor daily bars. Use daily panels only for</w:t>
      </w:r>
      <w:r>
        <w:t xml:space="preserve"> </w:t>
      </w:r>
      <w:r>
        <w:rPr>
          <w:i/>
        </w:rPr>
        <w:t xml:space="preserve">coarse</w:t>
      </w:r>
      <w:r>
        <w:t xml:space="preserve"> </w:t>
      </w:r>
      <w:r>
        <w:t xml:space="preserve">checks (e.g., the magnitude of genuinely large historical gaps like 2008/COVID, which are real even in noisy data).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X86780f96d593cda64712fbeac831bd2035ce744"/>
      <w:r>
        <w:t xml:space="preserve">5. Strategy specification (exact, implementable)</w:t>
      </w:r>
      <w:bookmarkEnd w:id="28"/>
    </w:p>
    <w:p>
      <w:pPr>
        <w:pStyle w:val="Heading2"/>
      </w:pPr>
      <w:bookmarkStart w:id="29" w:name="signal"/>
      <w:r>
        <w:t xml:space="preserve">5.1 Signal</w:t>
      </w:r>
      <w:bookmarkEnd w:id="29"/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C[t]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O[t]</w:t>
      </w:r>
      <w:r>
        <w:t xml:space="preserve"> </w:t>
      </w:r>
      <w:r>
        <w:t xml:space="preserve">be the session close and open on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SMA200[t]   = mean( C[t-199 .. t] )                 # uses closes up to and incl. t</w:t>
      </w:r>
      <w:r>
        <w:br/>
      </w:r>
      <w:r>
        <w:rPr>
          <w:rStyle w:val="VerbatimChar"/>
        </w:rPr>
        <w:t xml:space="preserve">gate[t]     = 1 if C[t] &gt; SMA200[t] else 0          # decision made AT close(t)</w:t>
      </w:r>
      <w:r>
        <w:br/>
      </w:r>
      <w:r>
        <w:rPr>
          <w:rStyle w:val="VerbatimChar"/>
        </w:rPr>
        <w:t xml:space="preserve">overnight_return[t] = O[t+1] / C[t] − 1             # realized if we hold close(t)→open(t+1)</w:t>
      </w:r>
      <w:r>
        <w:br/>
      </w:r>
      <w:r>
        <w:rPr>
          <w:rStyle w:val="VerbatimChar"/>
        </w:rPr>
        <w:t xml:space="preserve">position[t] = gate[t]                               # 1 = long overnight, 0 = flat</w:t>
      </w:r>
      <w:r>
        <w:br/>
      </w:r>
      <w:r>
        <w:rPr>
          <w:rStyle w:val="VerbatimChar"/>
        </w:rPr>
        <w:t xml:space="preserve">strategy_return[t] = gate[t] × ( overnight_return[t] − cost 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Entry:</w:t>
      </w:r>
      <w:r>
        <w:t xml:space="preserve"> </w:t>
      </w:r>
      <w:r>
        <w:t xml:space="preserve">at/near the cash</w:t>
      </w:r>
      <w:r>
        <w:t xml:space="preserve"> </w:t>
      </w:r>
      <w:r>
        <w:rPr>
          <w:b/>
        </w:rPr>
        <w:t xml:space="preserve">close</w:t>
      </w:r>
      <w:r>
        <w:t xml:space="preserve"> </w:t>
      </w:r>
      <w:r>
        <w:t xml:space="preserve">of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, if</w:t>
      </w:r>
      <w:r>
        <w:t xml:space="preserve"> </w:t>
      </w:r>
      <w:r>
        <w:rPr>
          <w:rStyle w:val="VerbatimChar"/>
        </w:rPr>
        <w:t xml:space="preserve">gate[t] == 1</w:t>
      </w:r>
      <w:r>
        <w:t xml:space="preserve">, go long size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Exit:</w:t>
      </w:r>
      <w:r>
        <w:t xml:space="preserve"> </w:t>
      </w:r>
      <w:r>
        <w:t xml:space="preserve">at/near the cash</w:t>
      </w:r>
      <w:r>
        <w:t xml:space="preserve"> </w:t>
      </w:r>
      <w:r>
        <w:rPr>
          <w:b/>
        </w:rPr>
        <w:t xml:space="preserve">open</w:t>
      </w:r>
      <w:r>
        <w:t xml:space="preserve"> </w:t>
      </w:r>
      <w:r>
        <w:t xml:space="preserve">of day</w:t>
      </w:r>
      <w:r>
        <w:t xml:space="preserve"> </w:t>
      </w:r>
      <w:r>
        <w:rPr>
          <w:rStyle w:val="VerbatimChar"/>
        </w:rPr>
        <w:t xml:space="preserve">t+1</w:t>
      </w:r>
      <w:r>
        <w:t xml:space="preserve">. Flat during the intraday session.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rPr>
          <w:rStyle w:val="VerbatimChar"/>
        </w:rPr>
        <w:t xml:space="preserve">cost = 2 bps</w:t>
      </w:r>
      <w:r>
        <w:t xml:space="preserve"> </w:t>
      </w:r>
      <w:r>
        <w:t xml:space="preserve">round-trip (spread + commission).</w:t>
      </w:r>
      <w:r>
        <w:t xml:space="preserve"> </w:t>
      </w:r>
      <w:r>
        <w:rPr>
          <w:b/>
        </w:rPr>
        <w:t xml:space="preserve">Overnight swap/financing is NOT in this number</w:t>
      </w:r>
      <w:r>
        <w:t xml:space="preserve"> </w:t>
      </w:r>
      <w:r>
        <w:t xml:space="preserve">— see §10.1.</w:t>
      </w:r>
    </w:p>
    <w:p>
      <w:pPr>
        <w:pStyle w:val="Heading2"/>
      </w:pPr>
      <w:bookmarkStart w:id="30" w:name="parameters-and-why"/>
      <w:r>
        <w:t xml:space="preserve">5.2 Parameters (and why)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 / sensitivity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 window</w:t>
            </w:r>
          </w:p>
        </w:tc>
        <w:tc>
          <w:p>
            <w:pPr>
              <w:pStyle w:val="Compact"/>
              <w:jc w:val="left"/>
            </w:pPr>
            <w:r>
              <w:t xml:space="preserve">200 days</w:t>
            </w:r>
          </w:p>
        </w:tc>
        <w:tc>
          <w:p>
            <w:pPr>
              <w:pStyle w:val="Compact"/>
              <w:jc w:val="left"/>
            </w:pPr>
            <w:r>
              <w:t xml:space="preserve">Standard slow trend filter; deliberately lagging. Team should grid 100/150/200/250 (</w:t>
            </w:r>
            <w:r>
              <w:rPr>
                <w:rStyle w:val="VerbatimChar"/>
              </w:rPr>
              <w:t xml:space="preserve">--ma</w:t>
            </w:r>
            <w:r>
              <w:t xml:space="preserve">) to confirm it is not a knife-edge.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2 bps/night</w:t>
            </w:r>
          </w:p>
        </w:tc>
        <w:tc>
          <w:p>
            <w:pPr>
              <w:pStyle w:val="Compact"/>
              <w:jc w:val="left"/>
            </w:pPr>
            <w:r>
              <w:t xml:space="preserve">Conservative spread+commission for a liquid index CFD;</w:t>
            </w:r>
            <w:r>
              <w:t xml:space="preserve"> </w:t>
            </w:r>
            <w:r>
              <w:rPr>
                <w:b/>
              </w:rPr>
              <w:t xml:space="preserve">excludes swap</w:t>
            </w:r>
            <w:r>
              <w:t xml:space="preserve">. Grid 1–4 bps (</w:t>
            </w:r>
            <w:r>
              <w:rPr>
                <w:rStyle w:val="VerbatimChar"/>
              </w:rPr>
              <w:t xml:space="preserve">--cost-bps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Sizing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0.5× / 0.75× / 1.0×</w:t>
            </w:r>
          </w:p>
        </w:tc>
        <w:tc>
          <w:p>
            <w:pPr>
              <w:pStyle w:val="Compact"/>
              <w:jc w:val="left"/>
            </w:pPr>
            <w:r>
              <w:t xml:space="preserve">Primary risk lever. 0.5× = 0% historical bust; 1.0× = fast but 29% bust.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Targets</w:t>
            </w:r>
          </w:p>
        </w:tc>
        <w:tc>
          <w:p>
            <w:pPr>
              <w:pStyle w:val="Compact"/>
              <w:jc w:val="left"/>
            </w:pPr>
            <w:r>
              <w:t xml:space="preserve">+10% (P1), +5% (P2)</w:t>
            </w:r>
          </w:p>
        </w:tc>
        <w:tc>
          <w:p>
            <w:pPr>
              <w:pStyle w:val="Compact"/>
              <w:jc w:val="left"/>
            </w:pPr>
            <w:r>
              <w:t xml:space="preserve">FTMO 2-step.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loss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FTMO. Modeled as the overnight gap being the day’s move.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floor</w:t>
            </w:r>
          </w:p>
        </w:tc>
        <w:tc>
          <w:p>
            <w:pPr>
              <w:pStyle w:val="Compact"/>
              <w:jc w:val="left"/>
            </w:pPr>
            <w:r>
              <w:t xml:space="preserve">$9,000 static</w:t>
            </w:r>
          </w:p>
        </w:tc>
        <w:tc>
          <w:p>
            <w:pPr>
              <w:pStyle w:val="Compact"/>
              <w:jc w:val="left"/>
            </w:pPr>
            <w:r>
              <w:t xml:space="preserve">FTMO 10% max loss from initial $10k.</w:t>
            </w:r>
          </w:p>
        </w:tc>
      </w:tr>
    </w:tbl>
    <w:p>
      <w:pPr>
        <w:pStyle w:val="Heading2"/>
      </w:pPr>
      <w:bookmarkStart w:id="31" w:name="no-look-ahead-proof"/>
      <w:r>
        <w:t xml:space="preserve">5.3 No-look-ahead proof</w:t>
      </w:r>
      <w:bookmarkEnd w:id="31"/>
    </w:p>
    <w:p>
      <w:pPr>
        <w:pStyle w:val="FirstParagraph"/>
      </w:pPr>
      <w:r>
        <w:t xml:space="preserve">The only decision is</w:t>
      </w:r>
      <w:r>
        <w:t xml:space="preserve"> </w:t>
      </w:r>
      <w:r>
        <w:rPr>
          <w:rStyle w:val="VerbatimChar"/>
        </w:rPr>
        <w:t xml:space="preserve">gate[t]</w:t>
      </w:r>
      <w:r>
        <w:t xml:space="preserve">, computed from</w:t>
      </w:r>
      <w:r>
        <w:t xml:space="preserve"> </w:t>
      </w:r>
      <w:r>
        <w:rPr>
          <w:rStyle w:val="VerbatimChar"/>
        </w:rPr>
        <w:t xml:space="preserve">SMA200[t]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C[t]</w:t>
      </w:r>
      <w:r>
        <w:t xml:space="preserve"> </w:t>
      </w:r>
      <w:r>
        <w:t xml:space="preserve">— both known at the close of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. The position is opened at that close. The return</w:t>
      </w:r>
      <w:r>
        <w:t xml:space="preserve"> </w:t>
      </w:r>
      <w:r>
        <w:rPr>
          <w:rStyle w:val="VerbatimChar"/>
        </w:rPr>
        <w:t xml:space="preserve">overnight_return[t] = O[t+1]/C[t] − 1</w:t>
      </w:r>
      <w:r>
        <w:t xml:space="preserve"> </w:t>
      </w:r>
      <w:r>
        <w:t xml:space="preserve">is the</w:t>
      </w:r>
      <w:r>
        <w:t xml:space="preserve"> </w:t>
      </w:r>
      <w:r>
        <w:rPr>
          <w:i/>
        </w:rPr>
        <w:t xml:space="preserve">consequence</w:t>
      </w:r>
      <w:r>
        <w:t xml:space="preserve"> </w:t>
      </w:r>
      <w:r>
        <w:t xml:space="preserve">of the position, realized the next morning; it is never an input to the decision. There is no peeking: at the moment we act (close</w:t>
      </w:r>
      <w:r>
        <w:t xml:space="preserve"> </w:t>
      </w:r>
      <w:r>
        <w:rPr>
          <w:rStyle w:val="VerbatimChar"/>
        </w:rPr>
        <w:t xml:space="preserve">t</w:t>
      </w:r>
      <w:r>
        <w:t xml:space="preserve">) we use only data</w:t>
      </w:r>
      <w:r>
        <w:t xml:space="preserve"> </w:t>
      </w:r>
      <w:r>
        <w:rPr>
          <w:rStyle w:val="VerbatimChar"/>
        </w:rPr>
        <w:t xml:space="preserve">≤ t</w:t>
      </w:r>
      <w:r>
        <w:t xml:space="preserve">. (Code:</w:t>
      </w:r>
      <w:r>
        <w:t xml:space="preserve"> </w:t>
      </w:r>
      <w:r>
        <w:rPr>
          <w:rStyle w:val="VerbatimChar"/>
        </w:rPr>
        <w:t xml:space="preserve">build_signal()</w:t>
      </w:r>
      <w:r>
        <w:t xml:space="preserve"> </w:t>
      </w:r>
      <w:r>
        <w:t xml:space="preserve">aligns</w:t>
      </w:r>
      <w:r>
        <w:t xml:space="preserve"> </w:t>
      </w:r>
      <w:r>
        <w:rPr>
          <w:rStyle w:val="VerbatimChar"/>
        </w:rPr>
        <w:t xml:space="preserve">gate_t = (C &gt; ma)[:-1]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ov = O[1:]/C[:-1]-1</w:t>
      </w:r>
      <w:r>
        <w:t xml:space="preserve">, i.e. gate index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pairs with the</w:t>
      </w:r>
      <w:r>
        <w:t xml:space="preserve"> </w:t>
      </w:r>
      <w:r>
        <w:rPr>
          <w:i/>
        </w:rPr>
        <w:t xml:space="preserve">forward</w:t>
      </w:r>
      <w:r>
        <w:t xml:space="preserve"> </w:t>
      </w:r>
      <w:r>
        <w:t xml:space="preserve">overnight return.)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backtest-methodology"/>
      <w:r>
        <w:t xml:space="preserve">6. Backtest methodology</w:t>
      </w:r>
      <w:bookmarkEnd w:id="32"/>
    </w:p>
    <w:p>
      <w:pPr>
        <w:pStyle w:val="Heading2"/>
      </w:pPr>
      <w:bookmarkStart w:id="33" w:name="why-contiguous-real-path-not-bootstrap"/>
      <w:r>
        <w:t xml:space="preserve">6.1 Why contiguous real-path, not bootstrap</w:t>
      </w:r>
      <w:bookmarkEnd w:id="33"/>
    </w:p>
    <w:p>
      <w:pPr>
        <w:pStyle w:val="FirstParagraph"/>
      </w:pPr>
      <w:r>
        <w:t xml:space="preserve">A trend-gated strategy’s whole value is</w:t>
      </w:r>
      <w:r>
        <w:t xml:space="preserve"> </w:t>
      </w:r>
      <w:r>
        <w:rPr>
          <w:b/>
        </w:rPr>
        <w:t xml:space="preserve">sitting out clustered bear markets</w:t>
      </w:r>
      <w:r>
        <w:t xml:space="preserve">. An IID bootstrap of nightly returns destroys that clustering — it scatters bad nights uniformly, so the gate can never</w:t>
      </w:r>
      <w:r>
        <w:t xml:space="preserve"> </w:t>
      </w:r>
      <w:r>
        <w:t xml:space="preserve">“</w:t>
      </w:r>
      <w:r>
        <w:t xml:space="preserve">wait out</w:t>
      </w:r>
      <w:r>
        <w:t xml:space="preserve">”</w:t>
      </w:r>
      <w:r>
        <w:t xml:space="preserve"> </w:t>
      </w:r>
      <w:r>
        <w:t xml:space="preserve">a contiguous downtrend, and it massively over-penalizes.</w:t>
      </w:r>
      <w:r>
        <w:t xml:space="preserve"> </w:t>
      </w:r>
      <w:r>
        <w:rPr>
          <w:b/>
        </w:rPr>
        <w:t xml:space="preserve">We simulate on the actual historical path</w:t>
      </w:r>
      <w:r>
        <w:t xml:space="preserve"> </w:t>
      </w:r>
      <w:r>
        <w:t xml:space="preserve">(and, for resampling-based CIs, recommend a</w:t>
      </w:r>
      <w:r>
        <w:t xml:space="preserve"> </w:t>
      </w:r>
      <w:r>
        <w:rPr>
          <w:i/>
        </w:rPr>
        <w:t xml:space="preserve">stationary/block</w:t>
      </w:r>
      <w:r>
        <w:t xml:space="preserve"> </w:t>
      </w:r>
      <w:r>
        <w:t xml:space="preserve">bootstrap that preserves runs — never IID). The 16-year contiguous path includes COVID-2020 (a fast crash from highs) and the 2022 bear (−33%), so it is a genuine stress sample, not a calm cherry-pick.</w:t>
      </w:r>
    </w:p>
    <w:p>
      <w:pPr>
        <w:pStyle w:val="Heading2"/>
      </w:pPr>
      <w:bookmarkStart w:id="34" w:name="ftmo-2-step-first-passage-encoding"/>
      <w:r>
        <w:t xml:space="preserve">6.2 FTMO 2-step first-passage encoding</w:t>
      </w:r>
      <w:bookmarkEnd w:id="34"/>
    </w:p>
    <w:p>
      <w:pPr>
        <w:pStyle w:val="FirstParagraph"/>
      </w:pPr>
      <w:r>
        <w:t xml:space="preserve">For each rolling</w:t>
      </w:r>
      <w:r>
        <w:t xml:space="preserve"> </w:t>
      </w:r>
      <w:r>
        <w:rPr>
          <w:b/>
        </w:rPr>
        <w:t xml:space="preserve">start date</w:t>
      </w:r>
      <w:r>
        <w:t xml:space="preserve"> </w:t>
      </w:r>
      <w:r>
        <w:t xml:space="preserve">(every trading day, 4,035 starts):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1.</w:t>
      </w:r>
      <w:r>
        <w:t xml:space="preserve"> </w:t>
      </w:r>
      <w:r>
        <w:t xml:space="preserve">Walk forward night by night, compounding</w:t>
      </w:r>
      <w:r>
        <w:t xml:space="preserve"> </w:t>
      </w:r>
      <w:r>
        <w:rPr>
          <w:rStyle w:val="VerbatimChar"/>
        </w:rPr>
        <w:t xml:space="preserve">equity ×= (1 + L·r[t])</w:t>
      </w:r>
      <w:r>
        <w:t xml:space="preserve">.</w:t>
      </w:r>
      <w:r>
        <w:t xml:space="preserve"> </w:t>
      </w:r>
      <w:r>
        <w:rPr>
          <w:b/>
        </w:rPr>
        <w:t xml:space="preserve">Bust</w:t>
      </w:r>
      <w:r>
        <w:t xml:space="preserve"> </w:t>
      </w:r>
      <w:r>
        <w:t xml:space="preserve">if a single night’s</w:t>
      </w:r>
      <w:r>
        <w:t xml:space="preserve"> </w:t>
      </w:r>
      <w:r>
        <w:rPr>
          <w:rStyle w:val="VerbatimChar"/>
        </w:rPr>
        <w:t xml:space="preserve">L·r[t] ≤ −5%</w:t>
      </w:r>
      <w:r>
        <w:t xml:space="preserve"> </w:t>
      </w:r>
      <w:r>
        <w:t xml:space="preserve">(daily limit) or if</w:t>
      </w:r>
      <w:r>
        <w:t xml:space="preserve"> </w:t>
      </w:r>
      <w:r>
        <w:rPr>
          <w:rStyle w:val="VerbatimChar"/>
        </w:rPr>
        <w:t xml:space="preserve">equity &lt; $9,000</w:t>
      </w:r>
      <w:r>
        <w:t xml:space="preserve"> </w:t>
      </w:r>
      <w:r>
        <w:t xml:space="preserve">(floor).</w:t>
      </w:r>
      <w:r>
        <w:t xml:space="preserve"> </w:t>
      </w:r>
      <w:r>
        <w:rPr>
          <w:b/>
        </w:rPr>
        <w:t xml:space="preserve">Pass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equity ≥ $11,000</w:t>
      </w:r>
      <w:r>
        <w:t xml:space="preserve">. (No time cap.)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2.</w:t>
      </w:r>
      <w:r>
        <w:t xml:space="preserve"> </w:t>
      </w:r>
      <w:r>
        <w:t xml:space="preserve">From the next night on the</w:t>
      </w:r>
      <w:r>
        <w:t xml:space="preserve"> </w:t>
      </w:r>
      <w:r>
        <w:rPr>
          <w:i/>
        </w:rPr>
        <w:t xml:space="preserve">same contiguous path</w:t>
      </w:r>
      <w:r>
        <w:t xml:space="preserve">, reset to $10,000 and repeat to a +5% target ($10,500), same caps.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Outcome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funded</w:t>
      </w:r>
      <w:r>
        <w:t xml:space="preserve"> </w:t>
      </w:r>
      <w:r>
        <w:t xml:space="preserve">(both passed),</w:t>
      </w:r>
      <w:r>
        <w:t xml:space="preserve"> </w:t>
      </w:r>
      <w:r>
        <w:rPr>
          <w:rStyle w:val="VerbatimChar"/>
        </w:rPr>
        <w:t xml:space="preserve">bust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(ran out of 16-yr data still trying — censored)}.</w:t>
      </w:r>
    </w:p>
    <w:p>
      <w:pPr>
        <w:pStyle w:val="FirstParagraph"/>
      </w:pPr>
      <w:r>
        <w:rPr>
          <w:b/>
        </w:rPr>
        <w:t xml:space="preserve">Probabilities reported two ways:</w:t>
      </w:r>
      <w:r>
        <w:t xml:space="preserve"> </w:t>
      </w:r>
      <w:r>
        <w:rPr>
          <w:rStyle w:val="VerbatimChar"/>
        </w:rPr>
        <w:t xml:space="preserve">p(funded) total</w:t>
      </w:r>
      <w:r>
        <w:t xml:space="preserve"> </w:t>
      </w:r>
      <w:r>
        <w:t xml:space="preserve">= funded / all starts (censored counts as fail — conservative);</w:t>
      </w:r>
      <w:r>
        <w:t xml:space="preserve"> </w:t>
      </w:r>
      <w:r>
        <w:rPr>
          <w:rStyle w:val="VerbatimChar"/>
        </w:rPr>
        <w:t xml:space="preserve">p(funded) terminal</w:t>
      </w:r>
      <w:r>
        <w:t xml:space="preserve"> </w:t>
      </w:r>
      <w:r>
        <w:t xml:space="preserve">= funded / (funded + bust) (conditional on a verdict).</w:t>
      </w:r>
    </w:p>
    <w:p>
      <w:pPr>
        <w:pStyle w:val="BodyText"/>
      </w:pPr>
      <w:r>
        <w:rPr>
          <w:b/>
        </w:rPr>
        <w:t xml:space="preserve">Cumulative incidence by horizon H</w:t>
      </w:r>
      <w:r>
        <w:t xml:space="preserve"> </w:t>
      </w:r>
      <w:r>
        <w:t xml:space="preserve">uses proper eligibility: a start is counted at horizon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only if it reached a terminal verdict or had ≥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of forward data (Kaplan-Meier-style; avoids the bias of counting late starts that simply lacked runway). This is what makes the by-week / by-month curves honest.</w:t>
      </w:r>
    </w:p>
    <w:p>
      <w:pPr>
        <w:pStyle w:val="Heading2"/>
      </w:pPr>
      <w:bookmarkStart w:id="35" w:name="descriptive-metrics"/>
      <w:r>
        <w:t xml:space="preserve">6.3 Descriptive metrics</w:t>
      </w:r>
      <w:bookmarkEnd w:id="35"/>
    </w:p>
    <w:p>
      <w:pPr>
        <w:pStyle w:val="FirstParagraph"/>
      </w:pPr>
      <w:r>
        <w:t xml:space="preserve">Nightly moments are computed on</w:t>
      </w:r>
      <w:r>
        <w:t xml:space="preserve"> </w:t>
      </w:r>
      <w:r>
        <w:rPr>
          <w:b/>
        </w:rPr>
        <w:t xml:space="preserve">traded nights only</w:t>
      </w:r>
      <w:r>
        <w:t xml:space="preserve"> </w:t>
      </w:r>
      <w:r>
        <w:t xml:space="preserve">(gate on). Equity-curve metrics (CAGR, maxDD, Calmar, Sharpe) are computed on the full series including flat gate-off days (= 0 return), so they reflect the actual deployed equity path. Sharpe is annualized with √252.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results"/>
      <w:r>
        <w:t xml:space="preserve">7. Results</w:t>
      </w:r>
      <w:bookmarkEnd w:id="36"/>
    </w:p>
    <w:p>
      <w:pPr>
        <w:pStyle w:val="Heading2"/>
      </w:pPr>
      <w:bookmarkStart w:id="37" w:name="signal-quality-nightly-traded-nights"/>
      <w:r>
        <w:t xml:space="preserve">7.1 Signal quality (nightly, traded nights)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 (ann.)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hit-rate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</w:t>
            </w:r>
            <w:r>
              <w:t xml:space="preserve"> </w:t>
            </w:r>
            <w:r>
              <w:t xml:space="preserve">(−2 bps)</w:t>
            </w:r>
          </w:p>
        </w:tc>
        <w:tc>
          <w:p>
            <w:pPr>
              <w:pStyle w:val="Compact"/>
              <w:jc w:val="right"/>
            </w:pPr>
            <w:r>
              <w:t xml:space="preserve">3,196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+3.59 bps</w:t>
            </w:r>
          </w:p>
        </w:tc>
        <w:tc>
          <w:p>
            <w:pPr>
              <w:pStyle w:val="Compact"/>
              <w:jc w:val="right"/>
            </w:pPr>
            <w:r>
              <w:t xml:space="preserve">65.7 bps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0.87</w:t>
            </w:r>
          </w:p>
        </w:tc>
        <w:tc>
          <w:p>
            <w:pPr>
              <w:pStyle w:val="Compact"/>
              <w:jc w:val="right"/>
            </w:pPr>
            <w:r>
              <w:t xml:space="preserve">−0.76</w:t>
            </w:r>
          </w:p>
        </w:tc>
        <w:tc>
          <w:p>
            <w:pPr>
              <w:pStyle w:val="Compact"/>
              <w:jc w:val="right"/>
            </w:pPr>
            <w:r>
              <w:t xml:space="preserve">55.8%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</w:t>
            </w:r>
          </w:p>
        </w:tc>
        <w:tc>
          <w:p>
            <w:pPr>
              <w:pStyle w:val="Compact"/>
              <w:jc w:val="right"/>
            </w:pPr>
            <w:r>
              <w:t xml:space="preserve">3,196</w:t>
            </w:r>
          </w:p>
        </w:tc>
        <w:tc>
          <w:p>
            <w:pPr>
              <w:pStyle w:val="Compact"/>
              <w:jc w:val="right"/>
            </w:pPr>
            <w:r>
              <w:t xml:space="preserve">+5.59 bps</w:t>
            </w:r>
          </w:p>
        </w:tc>
        <w:tc>
          <w:p>
            <w:pPr>
              <w:pStyle w:val="Compact"/>
              <w:jc w:val="right"/>
            </w:pPr>
            <w:r>
              <w:t xml:space="preserve">65.7 bps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1.35</w:t>
            </w:r>
          </w:p>
        </w:tc>
        <w:tc>
          <w:p>
            <w:pPr>
              <w:pStyle w:val="Compact"/>
              <w:jc w:val="right"/>
            </w:pPr>
            <w:r>
              <w:t xml:space="preserve">−0.76</w:t>
            </w:r>
          </w:p>
        </w:tc>
        <w:tc>
          <w:p>
            <w:pPr>
              <w:pStyle w:val="Compact"/>
              <w:jc w:val="right"/>
            </w:pPr>
            <w:r>
              <w:t xml:space="preserve">57.6%</w:t>
            </w:r>
          </w:p>
        </w:tc>
      </w:tr>
    </w:tbl>
    <w:p>
      <w:pPr>
        <w:pStyle w:val="BodyText"/>
      </w:pPr>
      <w:r>
        <w:t xml:space="preserve">Skew is</w:t>
      </w:r>
      <w:r>
        <w:t xml:space="preserve"> </w:t>
      </w:r>
      <w:r>
        <w:rPr>
          <w:b/>
        </w:rPr>
        <w:t xml:space="preserve">mildly negative</w:t>
      </w:r>
      <w:r>
        <w:t xml:space="preserve"> </w:t>
      </w:r>
      <w:r>
        <w:t xml:space="preserve">— the expected overnight signature (steady small gains, occasional gap-down). It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positive-skew lottery, which is favorable under the barrier, but the left tail is the bust vector (§8).</w:t>
      </w:r>
    </w:p>
    <w:p>
      <w:pPr>
        <w:pStyle w:val="Heading2"/>
      </w:pPr>
      <w:bookmarkStart w:id="38" w:name="out-of-sample-robustness"/>
      <w:r>
        <w:t xml:space="preserve">7.2 Out-of-sample robustness</w:t>
      </w:r>
      <w:bookmarkEnd w:id="38"/>
    </w:p>
    <w:p>
      <w:pPr>
        <w:pStyle w:val="FirstParagraph"/>
      </w:pPr>
      <w:r>
        <w:t xml:space="preserve">Single split, train &lt; 2019 vs test ≥ 2019 (the test window contains COVID-2020 and the 2022 bear):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 (ann.)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In-sample</w:t>
            </w:r>
          </w:p>
        </w:tc>
        <w:tc>
          <w:p>
            <w:pPr>
              <w:pStyle w:val="Compact"/>
              <w:jc w:val="left"/>
            </w:pPr>
            <w:r>
              <w:t xml:space="preserve">&lt; 2019</w:t>
            </w:r>
          </w:p>
        </w:tc>
        <w:tc>
          <w:p>
            <w:pPr>
              <w:pStyle w:val="Compact"/>
              <w:jc w:val="right"/>
            </w:pPr>
            <w:r>
              <w:t xml:space="preserve">1,688</w:t>
            </w:r>
          </w:p>
        </w:tc>
        <w:tc>
          <w:p>
            <w:pPr>
              <w:pStyle w:val="Compact"/>
              <w:jc w:val="right"/>
            </w:pPr>
            <w:r>
              <w:t xml:space="preserve">+2.03 bps</w:t>
            </w:r>
          </w:p>
        </w:tc>
        <w:tc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p>
            <w:pPr>
              <w:pStyle w:val="Compact"/>
              <w:jc w:val="right"/>
            </w:pPr>
            <w:r>
              <w:t xml:space="preserve">−0.60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Out-of-sample</w:t>
            </w:r>
          </w:p>
        </w:tc>
        <w:tc>
          <w:p>
            <w:pPr>
              <w:pStyle w:val="Compact"/>
              <w:jc w:val="left"/>
            </w:pPr>
            <w:r>
              <w:t xml:space="preserve">≥ 2019</w:t>
            </w:r>
          </w:p>
        </w:tc>
        <w:tc>
          <w:p>
            <w:pPr>
              <w:pStyle w:val="Compact"/>
              <w:jc w:val="right"/>
            </w:pPr>
            <w:r>
              <w:t xml:space="preserve">1,508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+5.32 bps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1.09</w:t>
            </w:r>
          </w:p>
        </w:tc>
        <w:tc>
          <w:p>
            <w:pPr>
              <w:pStyle w:val="Compact"/>
              <w:jc w:val="right"/>
            </w:pPr>
            <w:r>
              <w:t xml:space="preserve">−0.81</w:t>
            </w:r>
          </w:p>
        </w:tc>
      </w:tr>
    </w:tbl>
    <w:p>
      <w:pPr>
        <w:pStyle w:val="BodyText"/>
      </w:pPr>
      <w:r>
        <w:t xml:space="preserve">The edge</w:t>
      </w:r>
      <w:r>
        <w:t xml:space="preserve"> </w:t>
      </w:r>
      <w:r>
        <w:rPr>
          <w:b/>
        </w:rPr>
        <w:t xml:space="preserve">does not decay out-of-sample — it strengthens</w:t>
      </w:r>
      <w:r>
        <w:t xml:space="preserve"> </w:t>
      </w:r>
      <w:r>
        <w:t xml:space="preserve">(consistent with a structural premium, and with elevated post-2020 overnight drift).</w:t>
      </w:r>
      <w:r>
        <w:t xml:space="preserve"> </w:t>
      </w:r>
      <w:r>
        <w:rPr>
          <w:i/>
        </w:rPr>
        <w:t xml:space="preserve">Caveat:</w:t>
      </w:r>
      <w:r>
        <w:t xml:space="preserve"> </w:t>
      </w:r>
      <w:r>
        <w:t xml:space="preserve">the OOS strength is partly the strong 2020/2024 overnight years and may not repeat; and the current-era swap drag (§10.1) bites hardest precisely in this recent window. Treat OOS as</w:t>
      </w:r>
      <w:r>
        <w:t xml:space="preserve"> </w:t>
      </w:r>
      <w:r>
        <w:t xml:space="preserve">“</w:t>
      </w:r>
      <w:r>
        <w:t xml:space="preserve">the edge persisted through stress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expect +5 bps forever</w:t>
      </w:r>
      <w:r>
        <w:t xml:space="preserve">”</w:t>
      </w:r>
      <w:r>
        <w:t xml:space="preserve">.</w:t>
      </w:r>
    </w:p>
    <w:p>
      <w:pPr>
        <w:pStyle w:val="Heading2"/>
      </w:pPr>
      <w:bookmarkStart w:id="39" w:name="equity-curve-metrics"/>
      <w:r>
        <w:t xml:space="preserve">7.3 Equity-curve metrics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CAGR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max drawdown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Calmar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 (ann.)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0.50×</w:t>
            </w:r>
          </w:p>
        </w:tc>
        <w:tc>
          <w:p>
            <w:pPr>
              <w:pStyle w:val="Compact"/>
              <w:jc w:val="right"/>
            </w:pPr>
            <w:r>
              <w:t xml:space="preserve">3.71%</w:t>
            </w:r>
          </w:p>
        </w:tc>
        <w:tc>
          <w:p>
            <w:pPr>
              <w:pStyle w:val="Compact"/>
              <w:jc w:val="right"/>
            </w:pPr>
            <w:r>
              <w:t xml:space="preserve">−9.14%</w:t>
            </w:r>
          </w:p>
        </w:tc>
        <w:tc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0.75×</w:t>
            </w:r>
          </w:p>
        </w:tc>
        <w:tc>
          <w:p>
            <w:pPr>
              <w:pStyle w:val="Compact"/>
              <w:jc w:val="right"/>
            </w:pPr>
            <w:r>
              <w:t xml:space="preserve">5.53%</w:t>
            </w:r>
          </w:p>
        </w:tc>
        <w:tc>
          <w:p>
            <w:pPr>
              <w:pStyle w:val="Compact"/>
              <w:jc w:val="right"/>
            </w:pPr>
            <w:r>
              <w:t xml:space="preserve">−13.50%</w:t>
            </w:r>
          </w:p>
        </w:tc>
        <w:tc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1.00×</w:t>
            </w:r>
          </w:p>
        </w:tc>
        <w:tc>
          <w:p>
            <w:pPr>
              <w:pStyle w:val="Compact"/>
              <w:jc w:val="right"/>
            </w:pPr>
            <w:r>
              <w:t xml:space="preserve">7.32%</w:t>
            </w:r>
          </w:p>
        </w:tc>
        <w:tc>
          <w:p>
            <w:pPr>
              <w:pStyle w:val="Compact"/>
              <w:jc w:val="right"/>
            </w:pPr>
            <w:r>
              <w:t xml:space="preserve">−17.70%</w:t>
            </w:r>
          </w:p>
        </w:tc>
        <w:tc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p>
            <w:pPr>
              <w:pStyle w:val="Compact"/>
              <w:jc w:val="right"/>
            </w:pPr>
            <w:r>
              <w:t xml:space="preserve">0.79</w:t>
            </w:r>
          </w:p>
        </w:tc>
      </w:tr>
    </w:tbl>
    <w:p>
      <w:pPr>
        <w:pStyle w:val="BodyText"/>
      </w:pPr>
      <w:r>
        <w:t xml:space="preserve">Calmar (0.41) and Sharpe (0.79) are leverage-invariant under linear sizing; only the</w:t>
      </w:r>
      <w:r>
        <w:t xml:space="preserve"> </w:t>
      </w:r>
      <w:r>
        <w:rPr>
          <w:i/>
        </w:rPr>
        <w:t xml:space="preserve">level</w:t>
      </w:r>
      <w:r>
        <w:t xml:space="preserve"> </w:t>
      </w:r>
      <w:r>
        <w:t xml:space="preserve">of CAGR / maxDD scales. The equity-curve Sharpe (0.79) is below the traded-night Sharpe (0.87) because flat gate-off days dilute it.</w:t>
      </w:r>
    </w:p>
    <w:p>
      <w:pPr>
        <w:pStyle w:val="Heading2"/>
      </w:pPr>
      <w:bookmarkStart w:id="40" w:name="ftmo-2-step-funded-probability"/>
      <w:r>
        <w:t xml:space="preserve">7.4 FTMO 2-step funded probability</w:t>
      </w:r>
      <w:bookmarkEnd w:id="40"/>
    </w:p>
    <w:tbl>
      <w:tblPr>
        <w:tblStyle w:val="Table"/>
        <w:tblW w:type="pct" w:w="5000.0"/>
        <w:tblLook w:firstRow="1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 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 terminal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p(P1)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p(P2 | P1)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bust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running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median TTF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p25 / p75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0.50×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88.3%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91.1%</w:t>
            </w:r>
          </w:p>
        </w:tc>
        <w:tc>
          <w:p>
            <w:pPr>
              <w:pStyle w:val="Compact"/>
              <w:jc w:val="right"/>
            </w:pPr>
            <w:r>
              <w:t xml:space="preserve">96.9%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0.0%</w:t>
            </w:r>
          </w:p>
        </w:tc>
        <w:tc>
          <w:p>
            <w:pPr>
              <w:pStyle w:val="Compact"/>
              <w:jc w:val="right"/>
            </w:pPr>
            <w:r>
              <w:t xml:space="preserve">11.7%</w:t>
            </w:r>
          </w:p>
        </w:tc>
        <w:tc>
          <w:p>
            <w:pPr>
              <w:pStyle w:val="Compact"/>
              <w:jc w:val="right"/>
            </w:pPr>
            <w:r>
              <w:t xml:space="preserve">3.51 yr</w:t>
            </w:r>
          </w:p>
        </w:tc>
        <w:tc>
          <w:p>
            <w:pPr>
              <w:pStyle w:val="Compact"/>
              <w:jc w:val="right"/>
            </w:pPr>
            <w:r>
              <w:t xml:space="preserve">2.13 / 5.55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0.75×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81.5%</w:t>
            </w:r>
          </w:p>
        </w:tc>
        <w:tc>
          <w:p>
            <w:pPr>
              <w:pStyle w:val="Compact"/>
              <w:jc w:val="right"/>
            </w:pPr>
            <w:r>
              <w:t xml:space="preserve">89.9%</w:t>
            </w:r>
          </w:p>
        </w:tc>
        <w:tc>
          <w:p>
            <w:pPr>
              <w:pStyle w:val="Compact"/>
              <w:jc w:val="right"/>
            </w:pPr>
            <w:r>
              <w:t xml:space="preserve">92.2%</w:t>
            </w:r>
          </w:p>
        </w:tc>
        <w:tc>
          <w:p>
            <w:pPr>
              <w:pStyle w:val="Compact"/>
              <w:jc w:val="right"/>
            </w:pPr>
            <w:r>
              <w:t xml:space="preserve">88.4%</w:t>
            </w:r>
          </w:p>
        </w:tc>
        <w:tc>
          <w:p>
            <w:pPr>
              <w:pStyle w:val="Compact"/>
              <w:jc w:val="right"/>
            </w:pPr>
            <w:r>
              <w:t xml:space="preserve">9.2%</w:t>
            </w:r>
          </w:p>
        </w:tc>
        <w:tc>
          <w:p>
            <w:pPr>
              <w:pStyle w:val="Compact"/>
              <w:jc w:val="right"/>
            </w:pPr>
            <w:r>
              <w:t xml:space="preserve">9.3%</w:t>
            </w:r>
          </w:p>
        </w:tc>
        <w:tc>
          <w:p>
            <w:pPr>
              <w:pStyle w:val="Compact"/>
              <w:jc w:val="right"/>
            </w:pPr>
            <w:r>
              <w:t xml:space="preserve">2.36 yr</w:t>
            </w:r>
          </w:p>
        </w:tc>
        <w:tc>
          <w:p>
            <w:pPr>
              <w:pStyle w:val="Compact"/>
              <w:jc w:val="right"/>
            </w:pPr>
            <w:r>
              <w:t xml:space="preserve">1.33 / 3.44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1.00×</w:t>
            </w:r>
          </w:p>
        </w:tc>
        <w:tc>
          <w:p>
            <w:pPr>
              <w:pStyle w:val="Compact"/>
              <w:jc w:val="right"/>
            </w:pPr>
            <w:r>
              <w:t xml:space="preserve">66.0%</w:t>
            </w:r>
          </w:p>
        </w:tc>
        <w:tc>
          <w:p>
            <w:pPr>
              <w:pStyle w:val="Compact"/>
              <w:jc w:val="right"/>
            </w:pPr>
            <w:r>
              <w:t xml:space="preserve">69.1%</w:t>
            </w:r>
          </w:p>
        </w:tc>
        <w:tc>
          <w:p>
            <w:pPr>
              <w:pStyle w:val="Compact"/>
              <w:jc w:val="right"/>
            </w:pPr>
            <w:r>
              <w:t xml:space="preserve">79.4%</w:t>
            </w:r>
          </w:p>
        </w:tc>
        <w:tc>
          <w:p>
            <w:pPr>
              <w:pStyle w:val="Compact"/>
              <w:jc w:val="right"/>
            </w:pPr>
            <w:r>
              <w:t xml:space="preserve">83.1%</w:t>
            </w:r>
          </w:p>
        </w:tc>
        <w:tc>
          <w:p>
            <w:pPr>
              <w:pStyle w:val="Compact"/>
              <w:jc w:val="right"/>
            </w:pPr>
            <w:r>
              <w:t xml:space="preserve">29.5%</w:t>
            </w:r>
          </w:p>
        </w:tc>
        <w:tc>
          <w:p>
            <w:pPr>
              <w:pStyle w:val="Compact"/>
              <w:jc w:val="right"/>
            </w:pPr>
            <w:r>
              <w:t xml:space="preserve">4.5%</w:t>
            </w:r>
          </w:p>
        </w:tc>
        <w:tc>
          <w:p>
            <w:pPr>
              <w:pStyle w:val="Compact"/>
              <w:jc w:val="right"/>
            </w:pPr>
            <w:r>
              <w:t xml:space="preserve">1.56 yr</w:t>
            </w:r>
          </w:p>
        </w:tc>
        <w:tc>
          <w:p>
            <w:pPr>
              <w:pStyle w:val="Compact"/>
              <w:jc w:val="right"/>
            </w:pPr>
            <w:r>
              <w:t xml:space="preserve">0.89 / 2.36</w:t>
            </w:r>
          </w:p>
        </w:tc>
      </w:tr>
    </w:tbl>
    <w:p>
      <w:pPr>
        <w:pStyle w:val="CaptionedFigure"/>
      </w:pPr>
      <w:r>
        <w:drawing>
          <wp:inline>
            <wp:extent cx="5334000" cy="3428999"/>
            <wp:effectExtent b="0" l="0" r="0" t="0"/>
            <wp:docPr descr="Terminal outcome split by sizing" title="" id="1" name="Picture"/>
            <a:graphic>
              <a:graphicData uri="http://schemas.openxmlformats.org/drawingml/2006/picture">
                <pic:pic>
                  <pic:nvPicPr>
                    <pic:cNvPr descr="fig3_outcom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Terminal outcome split by sizing</w:t>
      </w:r>
    </w:p>
    <w:p>
      <w:pPr>
        <w:pStyle w:val="Heading2"/>
      </w:pPr>
      <w:bookmarkStart w:id="42" w:name="ppass-versus-horizon-the-real-curve"/>
      <w:r>
        <w:t xml:space="preserve">7.5 p(pass) versus horizon — the real curve</w:t>
      </w:r>
      <w:bookmarkEnd w:id="42"/>
    </w:p>
    <w:p>
      <w:pPr>
        <w:pStyle w:val="FirstParagraph"/>
      </w:pPr>
      <w:r>
        <w:rPr>
          <w:b/>
        </w:rPr>
        <w:t xml:space="preserve">By week (1–10): ≈ 0.0%</w:t>
      </w:r>
      <w:r>
        <w:t xml:space="preserve"> </w:t>
      </w:r>
      <w:r>
        <w:t xml:space="preserve">at all deployable sizings (1.0× reaches only 0.1–0.3% by weeks 9–10). The challenge is effectively never won inside ~6 months.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0.50×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0.75×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mo</w:t>
            </w:r>
          </w:p>
        </w:tc>
        <w:tc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p>
            <w:pPr>
              <w:pStyle w:val="Compact"/>
              <w:jc w:val="right"/>
            </w:pPr>
            <w:r>
              <w:t xml:space="preserve">6.6%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mo</w:t>
            </w:r>
          </w:p>
        </w:tc>
        <w:tc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p>
            <w:pPr>
              <w:pStyle w:val="Compact"/>
              <w:jc w:val="right"/>
            </w:pPr>
            <w:r>
              <w:t xml:space="preserve">11.3%</w:t>
            </w:r>
          </w:p>
        </w:tc>
        <w:tc>
          <w:p>
            <w:pPr>
              <w:pStyle w:val="Compact"/>
              <w:jc w:val="right"/>
            </w:pPr>
            <w:r>
              <w:t xml:space="preserve">22.5%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mo</w:t>
            </w:r>
          </w:p>
        </w:tc>
        <w:tc>
          <w:p>
            <w:pPr>
              <w:pStyle w:val="Compact"/>
              <w:jc w:val="right"/>
            </w:pPr>
            <w:r>
              <w:t xml:space="preserve">23.6%</w:t>
            </w:r>
          </w:p>
        </w:tc>
        <w:tc>
          <w:p>
            <w:pPr>
              <w:pStyle w:val="Compact"/>
              <w:jc w:val="right"/>
            </w:pPr>
            <w:r>
              <w:t xml:space="preserve">34.0%</w:t>
            </w:r>
          </w:p>
        </w:tc>
        <w:tc>
          <w:p>
            <w:pPr>
              <w:pStyle w:val="Compact"/>
              <w:jc w:val="right"/>
            </w:pPr>
            <w:r>
              <w:t xml:space="preserve">45.2%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 mo</w:t>
            </w:r>
          </w:p>
        </w:tc>
        <w:tc>
          <w:p>
            <w:pPr>
              <w:pStyle w:val="Compact"/>
              <w:jc w:val="right"/>
            </w:pPr>
            <w:r>
              <w:t xml:space="preserve">39.3%</w:t>
            </w:r>
          </w:p>
        </w:tc>
        <w:tc>
          <w:p>
            <w:pPr>
              <w:pStyle w:val="Compact"/>
              <w:jc w:val="right"/>
            </w:pPr>
            <w:r>
              <w:t xml:space="preserve">58.5%</w:t>
            </w:r>
          </w:p>
        </w:tc>
        <w:tc>
          <w:p>
            <w:pPr>
              <w:pStyle w:val="Compact"/>
              <w:jc w:val="right"/>
            </w:pPr>
            <w:r>
              <w:t xml:space="preserve">55.8%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 mo</w:t>
            </w:r>
          </w:p>
        </w:tc>
        <w:tc>
          <w:p>
            <w:pPr>
              <w:pStyle w:val="Compact"/>
              <w:jc w:val="right"/>
            </w:pPr>
            <w:r>
              <w:t xml:space="preserve">57.6%</w:t>
            </w:r>
          </w:p>
        </w:tc>
        <w:tc>
          <w:p>
            <w:pPr>
              <w:pStyle w:val="Compact"/>
              <w:jc w:val="right"/>
            </w:pPr>
            <w:r>
              <w:t xml:space="preserve">75.1%</w:t>
            </w:r>
          </w:p>
        </w:tc>
        <w:tc>
          <w:p>
            <w:pPr>
              <w:pStyle w:val="Compact"/>
              <w:jc w:val="right"/>
            </w:pPr>
            <w:r>
              <w:t xml:space="preserve">69.1%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mo</w:t>
            </w:r>
          </w:p>
        </w:tc>
        <w:tc>
          <w:p>
            <w:pPr>
              <w:pStyle w:val="Compact"/>
              <w:jc w:val="right"/>
            </w:pPr>
            <w:r>
              <w:t xml:space="preserve">67.1%</w:t>
            </w:r>
          </w:p>
        </w:tc>
        <w:tc>
          <w:p>
            <w:pPr>
              <w:pStyle w:val="Compact"/>
              <w:jc w:val="right"/>
            </w:pPr>
            <w:r>
              <w:t xml:space="preserve">86.6%</w:t>
            </w:r>
          </w:p>
        </w:tc>
        <w:tc>
          <w:p>
            <w:pPr>
              <w:pStyle w:val="Compact"/>
              <w:jc w:val="right"/>
            </w:pPr>
            <w:r>
              <w:t xml:space="preserve">69.1%</w:t>
            </w:r>
          </w:p>
        </w:tc>
      </w:tr>
    </w:tbl>
    <w:p>
      <w:pPr>
        <w:pStyle w:val="CaptionedFigure"/>
      </w:pPr>
      <w:r>
        <w:drawing>
          <wp:inline>
            <wp:extent cx="5334000" cy="3081866"/>
            <wp:effectExtent b="0" l="0" r="0" t="0"/>
            <wp:docPr descr="p(pass) vs horizon" title="" id="1" name="Picture"/>
            <a:graphic>
              <a:graphicData uri="http://schemas.openxmlformats.org/drawingml/2006/picture">
                <pic:pic>
                  <pic:nvPicPr>
                    <pic:cNvPr descr="fig1_p_pass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p(pass) vs horizon</w:t>
      </w:r>
    </w:p>
    <w:p>
      <w:pPr>
        <w:pStyle w:val="BodyText"/>
      </w:pPr>
      <w:r>
        <w:rPr>
          <w:b/>
        </w:rPr>
        <w:t xml:space="preserve">Why weeks are impossible (first-passage arithmetic):</w:t>
      </w:r>
      <w:r>
        <w:t xml:space="preserve"> </w:t>
      </w:r>
      <w:r>
        <w:t xml:space="preserve">gross drift ≈ +5.6 bps/night × ~5 nights ≈ +28 bps/week at 1× exposure. Reaching +10% in one week requires ~35× leverage, which breaches the 5% daily limit on the first adverse night. The probability is structurally zero; speed is not available from this signal.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risk-analysis-stress-tests"/>
      <w:r>
        <w:t xml:space="preserve">8. Risk analysis &amp; stress tests</w:t>
      </w:r>
      <w:bookmarkEnd w:id="44"/>
    </w:p>
    <w:p>
      <w:pPr>
        <w:pStyle w:val="Heading2"/>
      </w:pPr>
      <w:bookmarkStart w:id="45" w:name="regime-behavior-by-year"/>
      <w:r>
        <w:t xml:space="preserve">8.1 Regime behavior (by year)</w:t>
      </w:r>
      <w:bookmarkEnd w:id="45"/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By-year return and gate-on fraction" title="" id="1" name="Picture"/>
            <a:graphic>
              <a:graphicData uri="http://schemas.openxmlformats.org/drawingml/2006/picture">
                <pic:pic>
                  <pic:nvPicPr>
                    <pic:cNvPr descr="fig2_by_ye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By-year return and gate-on fraction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Years (examples)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Trending-up (home turf)</w:t>
            </w:r>
          </w:p>
        </w:tc>
        <w:tc>
          <w:p>
            <w:pPr>
              <w:pStyle w:val="Compact"/>
              <w:jc w:val="left"/>
            </w:pPr>
            <w:r>
              <w:t xml:space="preserve">2013 (+8.8%), 2017 (+10.5%), 2019 (+9.9%), 2020 (+26%), 2021 (+11%), 2024 (+24.5%), 2025 (+17.4%)</w:t>
            </w:r>
          </w:p>
        </w:tc>
        <w:tc>
          <w:p>
            <w:pPr>
              <w:pStyle w:val="Compact"/>
              <w:jc w:val="left"/>
            </w:pPr>
            <w:r>
              <w:t xml:space="preserve">Gate ~85–100% on; harvests the drift. Positive in</w:t>
            </w:r>
            <w:r>
              <w:t xml:space="preserve"> </w:t>
            </w:r>
            <w:r>
              <w:rPr>
                <w:b/>
              </w:rPr>
              <w:t xml:space="preserve">13 of 16 full years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Sustained bear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2022: gate 6.7% on (17 nights), −5.6%</w:t>
            </w:r>
            <w:r>
              <w:t xml:space="preserve"> </w:t>
            </w:r>
            <w:r>
              <w:t xml:space="preserve">vs index</w:t>
            </w:r>
            <w:r>
              <w:t xml:space="preserve"> </w:t>
            </w:r>
            <w:r>
              <w:rPr>
                <w:b/>
              </w:rPr>
              <w:t xml:space="preserve">−33%</w:t>
            </w:r>
          </w:p>
        </w:tc>
        <w:tc>
          <w:p>
            <w:pPr>
              <w:pStyle w:val="Compact"/>
              <w:jc w:val="left"/>
            </w:pPr>
            <w:r>
              <w:t xml:space="preserve">Gate sits flat → capital preserved. The thesis in action.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Chop / whipsaw around the 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2016: −9.0%</w:t>
            </w:r>
            <w:r>
              <w:t xml:space="preserve"> </w:t>
            </w:r>
            <w:r>
              <w:t xml:space="preserve">(gate 67% on); 2026-partial −4.9%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</w:rPr>
              <w:t xml:space="preserve">worst</w:t>
            </w:r>
            <w:r>
              <w:t xml:space="preserve"> </w:t>
            </w:r>
            <w:r>
              <w:t xml:space="preserve">regime — gate flickers on/off and drift is negative.</w:t>
            </w:r>
            <w:r>
              <w:t xml:space="preserve"> </w:t>
            </w:r>
            <w:r>
              <w:rPr>
                <w:b/>
              </w:rPr>
              <w:t xml:space="preserve">Bleeds (does not bust).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Fast crash from highs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COVID 2020-03-09: −6.51% night</w:t>
            </w:r>
            <w:r>
              <w:t xml:space="preserve"> </w:t>
            </w:r>
            <w:r>
              <w:t xml:space="preserve">(gate still 91% on; MA lags)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</w:rPr>
              <w:t xml:space="preserve">bust vector</w:t>
            </w:r>
            <w:r>
              <w:t xml:space="preserve">. Fatal only at 1.0×; survived at ≤0.75×.</w:t>
            </w:r>
          </w:p>
        </w:tc>
      </w:tr>
    </w:tbl>
    <w:p>
      <w:pPr>
        <w:pStyle w:val="Heading2"/>
      </w:pPr>
      <w:bookmarkStart w:id="47" w:name="the-bust-vector-quantified"/>
      <w:r>
        <w:t xml:space="preserve">8.2 The bust vector — quantified</w:t>
      </w:r>
      <w:bookmarkEnd w:id="47"/>
    </w:p>
    <w:p>
      <w:pPr>
        <w:pStyle w:val="FirstParagraph"/>
      </w:pPr>
      <w:r>
        <w:t xml:space="preserve">The worst single traded night was</w:t>
      </w:r>
      <w:r>
        <w:t xml:space="preserve"> </w:t>
      </w:r>
      <w:r>
        <w:rPr>
          <w:b/>
        </w:rPr>
        <w:t xml:space="preserve">2020-03-09, −6.51%</w:t>
      </w:r>
      <w:r>
        <w:t xml:space="preserve">. Scaled by sizing: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day move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5% daily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0.50×</w:t>
            </w:r>
          </w:p>
        </w:tc>
        <w:tc>
          <w:p>
            <w:pPr>
              <w:pStyle w:val="Compact"/>
              <w:jc w:val="right"/>
            </w:pPr>
            <w:r>
              <w:t xml:space="preserve">−3.25%</w:t>
            </w:r>
          </w:p>
        </w:tc>
        <w:tc>
          <w:p>
            <w:pPr>
              <w:pStyle w:val="Compact"/>
              <w:jc w:val="left"/>
            </w:pPr>
            <w:r>
              <w:t xml:space="preserve">survives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0.75×</w:t>
            </w:r>
          </w:p>
        </w:tc>
        <w:tc>
          <w:p>
            <w:pPr>
              <w:pStyle w:val="Compact"/>
              <w:jc w:val="right"/>
            </w:pPr>
            <w:r>
              <w:t xml:space="preserve">−4.88%</w:t>
            </w:r>
          </w:p>
        </w:tc>
        <w:tc>
          <w:p>
            <w:pPr>
              <w:pStyle w:val="Compact"/>
              <w:jc w:val="left"/>
            </w:pPr>
            <w:r>
              <w:t xml:space="preserve">survives (barely)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1.00×</w:t>
            </w:r>
          </w:p>
        </w:tc>
        <w:tc>
          <w:p>
            <w:pPr>
              <w:pStyle w:val="Compact"/>
              <w:jc w:val="right"/>
            </w:pPr>
            <w:r>
              <w:t xml:space="preserve">−6.51%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BUST</w:t>
            </w:r>
          </w:p>
        </w:tc>
      </w:tr>
    </w:tbl>
    <w:p>
      <w:pPr>
        <w:pStyle w:val="BodyText"/>
      </w:pPr>
      <w:r>
        <w:t xml:space="preserve">This single night explains essentially the entire bust-rate ladder (0% → 9% → 30% across 0.5/0.75/1.0×).</w:t>
      </w:r>
      <w:r>
        <w:t xml:space="preserve"> </w:t>
      </w:r>
      <w:r>
        <w:rPr>
          <w:b/>
        </w:rPr>
        <w:t xml:space="preserve">The crash-from-highs gap is the only thing that busts this strategy.</w:t>
      </w:r>
      <w:r>
        <w:t xml:space="preserve"> </w:t>
      </w:r>
      <w:r>
        <w:t xml:space="preserve">Sustained bears are handled by the gate; chop merely bleeds.</w:t>
      </w:r>
    </w:p>
    <w:p>
      <w:pPr>
        <w:pStyle w:val="Heading2"/>
      </w:pPr>
      <w:bookmarkStart w:id="48" w:name="X814f39822d7080b45d3dbb02b74b24f2d7030cd"/>
      <w:r>
        <w:t xml:space="preserve">8.3 Stress tests the team should run (module supports all)</w:t>
      </w:r>
      <w:bookmarkEnd w:id="4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Synthetic catastrophe gap.</w:t>
      </w:r>
      <w:r>
        <w:t xml:space="preserve"> </w:t>
      </w:r>
      <w:r>
        <w:t xml:space="preserve">Inject a −10% / −15% / −20% overnight return while gated-on; record bust at each sizing. At 0.5×, a −10% gap = −5% day = exactly the daily limit; anything worse busts. (1987 Black Monday was ~−20% on the cash open — un-survivable at any meaningful size; this is the un-hedgeable tail.)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MA-window sensitivity.</w:t>
      </w:r>
      <w:r>
        <w:t xml:space="preserve"> </w:t>
      </w:r>
      <w:r>
        <w:t xml:space="preserve">Re-run with</w:t>
      </w:r>
      <w:r>
        <w:t xml:space="preserve"> </w:t>
      </w:r>
      <w:r>
        <w:rPr>
          <w:rStyle w:val="VerbatimChar"/>
        </w:rPr>
        <w:t xml:space="preserve">--ma 100/150/200/250</w:t>
      </w:r>
      <w:r>
        <w:t xml:space="preserve">; confirm p(funded) is a plateau, not a spike.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Cost/swap sensitivity.</w:t>
      </w:r>
      <w:r>
        <w:t xml:space="preserve"> </w:t>
      </w:r>
      <w:r>
        <w:t xml:space="preserve">Re-run with</w:t>
      </w:r>
      <w:r>
        <w:t xml:space="preserve"> </w:t>
      </w:r>
      <w:r>
        <w:rPr>
          <w:rStyle w:val="VerbatimChar"/>
        </w:rPr>
        <w:t xml:space="preserve">--cost-bps 1..6</w:t>
      </w:r>
      <w:r>
        <w:t xml:space="preserve">; find the breakeven where the recent-era edge dies (this brackets the swap risk of §10.1).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Sizing frontier.</w:t>
      </w:r>
      <w:r>
        <w:t xml:space="preserve"> </w:t>
      </w:r>
      <w:r>
        <w:t xml:space="preserve">Sweep</w:t>
      </w:r>
      <w:r>
        <w:t xml:space="preserve"> </w:t>
      </w:r>
      <w:r>
        <w:rPr>
          <w:rStyle w:val="VerbatimChar"/>
        </w:rPr>
        <w:t xml:space="preserve">L ∈ [0.3, 1.0]</w:t>
      </w:r>
      <w:r>
        <w:t xml:space="preserve"> </w:t>
      </w:r>
      <w:r>
        <w:t xml:space="preserve">to map the p(funded)-vs-bust-vs-time trade-off and pick the team’s risk point.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Cross-asset replication (√N).</w:t>
      </w:r>
      <w:r>
        <w:t xml:space="preserve"> </w:t>
      </w:r>
      <w:r>
        <w:t xml:space="preserve">Point the module at clean ES/SPX and DAX intraday parquets (same schema). A genuine beta premium should replicate; if it does, an equal-weight 2–3-index sleeve</w:t>
      </w:r>
      <w:r>
        <w:t xml:space="preserve"> </w:t>
      </w:r>
      <w:r>
        <w:rPr>
          <w:b/>
        </w:rPr>
        <w:t xml:space="preserve">shortens the grind and diversifies the crash-gap timing</w:t>
      </w:r>
      <w:r>
        <w:t xml:space="preserve">.</w:t>
      </w:r>
      <w:r>
        <w:t xml:space="preserve"> </w:t>
      </w:r>
      <w:r>
        <w:rPr>
          <w:i/>
        </w:rPr>
        <w:t xml:space="preserve">(Pending — Check 4.)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Block-bootstrap CIs.</w:t>
      </w:r>
      <w:r>
        <w:t xml:space="preserve"> </w:t>
      </w:r>
      <w:r>
        <w:t xml:space="preserve">For confidence intervals on p(funded), resample</w:t>
      </w:r>
      <w:r>
        <w:t xml:space="preserve"> </w:t>
      </w:r>
      <w:r>
        <w:rPr>
          <w:i/>
        </w:rPr>
        <w:t xml:space="preserve">contiguous blocks</w:t>
      </w:r>
      <w:r>
        <w:t xml:space="preserve"> </w:t>
      </w:r>
      <w:r>
        <w:t xml:space="preserve">(stationary bootstrap, mean block ~20–60 nights) — never IID.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Xb3c025063bdd681e1a385ea4c034778ed7ddeff"/>
      <w:r>
        <w:t xml:space="preserve">9. Out-of-sample, demo, and live testing protocol</w:t>
      </w:r>
      <w:bookmarkEnd w:id="49"/>
    </w:p>
    <w:p>
      <w:pPr>
        <w:pStyle w:val="FirstParagraph"/>
      </w:pPr>
      <w:r>
        <w:t xml:space="preserve">Because median time-to-funded is</w:t>
      </w:r>
      <w:r>
        <w:t xml:space="preserve"> </w:t>
      </w:r>
      <w:r>
        <w:rPr>
          <w:b/>
        </w:rPr>
        <w:t xml:space="preserve">years</w:t>
      </w:r>
      <w:r>
        <w:t xml:space="preserve">, conventional</w:t>
      </w:r>
      <w:r>
        <w:t xml:space="preserve"> </w:t>
      </w:r>
      <w:r>
        <w:t xml:space="preserve">“</w:t>
      </w:r>
      <w:r>
        <w:t xml:space="preserve">run it in demo for a month and see if it passes</w:t>
      </w:r>
      <w:r>
        <w:t xml:space="preserve">”</w:t>
      </w:r>
      <w:r>
        <w:t xml:space="preserve"> </w:t>
      </w:r>
      <w:r>
        <w:t xml:space="preserve">is meaningless here. Demo/forward testing must validate the</w:t>
      </w:r>
      <w:r>
        <w:t xml:space="preserve"> </w:t>
      </w:r>
      <w:r>
        <w:rPr>
          <w:b/>
        </w:rPr>
        <w:t xml:space="preserve">mechanics and the per-night edge</w:t>
      </w:r>
      <w:r>
        <w:t xml:space="preserve">, not the funding outcome.</w:t>
      </w:r>
    </w:p>
    <w:p>
      <w:pPr>
        <w:pStyle w:val="Heading2"/>
      </w:pPr>
      <w:bookmarkStart w:id="50" w:name="X213b72ff4f694f1e20ad421371d4df15ee6245e"/>
      <w:r>
        <w:t xml:space="preserve">9.1 What to validate in demo (≥ 2–3 months, ≥ 40–60 traded nights)</w:t>
      </w:r>
      <w:bookmarkEnd w:id="5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Realized vs expected nightly edge.</w:t>
      </w:r>
      <w:r>
        <w:t xml:space="preserve"> </w:t>
      </w:r>
      <w:r>
        <w:t xml:space="preserve">Log every gated night’s realized close-to-open return. Estimate the mean with a confidence interval and test it against the backtest (+3.59 bps net). Use a one-sample t-test / block bootstrap on the live sample.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Execution slippage.</w:t>
      </w:r>
      <w:r>
        <w:t xml:space="preserve"> </w:t>
      </w:r>
      <w:r>
        <w:t xml:space="preserve">Measure actual entry (near close) and exit (near open) fills vs the assumed 2 bps. Confirm slippage is within budget on a liquid index.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Overnight swap — the binary item.</w:t>
      </w:r>
      <w:r>
        <w:t xml:space="preserve"> </w:t>
      </w:r>
      <w:r>
        <w:t xml:space="preserve">Record the</w:t>
      </w:r>
      <w:r>
        <w:t xml:space="preserve"> </w:t>
      </w:r>
      <w:r>
        <w:rPr>
          <w:i/>
        </w:rPr>
        <w:t xml:space="preserve">actual</w:t>
      </w:r>
      <w:r>
        <w:t xml:space="preserve"> </w:t>
      </w:r>
      <w:r>
        <w:t xml:space="preserve">swap debited each night by the broker on the index CFD. After ~30 nights you have the real financing drag → recompute net edge.</w:t>
      </w:r>
      <w:r>
        <w:t xml:space="preserve"> </w:t>
      </w:r>
      <w:r>
        <w:rPr>
          <w:b/>
        </w:rPr>
        <w:t xml:space="preserve">This is the single most decision-relevant number to collect</w:t>
      </w:r>
      <w:r>
        <w:t xml:space="preserve"> </w:t>
      </w:r>
      <w:r>
        <w:t xml:space="preserve">(see §10.1).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Gate fidelity.</w:t>
      </w:r>
      <w:r>
        <w:t xml:space="preserve"> </w:t>
      </w:r>
      <w:r>
        <w:t xml:space="preserve">Confirm the MA200 gate flips on/off correctly against an independent data source and that flat days carry no position.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FTMO accounting.</w:t>
      </w:r>
      <w:r>
        <w:t xml:space="preserve"> </w:t>
      </w:r>
      <w:r>
        <w:t xml:space="preserve">Confirm how the platform attributes the overnight gap to the</w:t>
      </w:r>
      <w:r>
        <w:t xml:space="preserve"> </w:t>
      </w:r>
      <w:r>
        <w:t xml:space="preserve">“</w:t>
      </w:r>
      <w:r>
        <w:t xml:space="preserve">daily loss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max loss</w:t>
      </w:r>
      <w:r>
        <w:t xml:space="preserve">”</w:t>
      </w:r>
      <w:r>
        <w:t xml:space="preserve"> </w:t>
      </w:r>
      <w:r>
        <w:t xml:space="preserve">calculations, and the daily-reset server time.</w:t>
      </w:r>
    </w:p>
    <w:p>
      <w:pPr>
        <w:pStyle w:val="Heading2"/>
      </w:pPr>
      <w:bookmarkStart w:id="51" w:name="demo-acceptance-kill-criteria"/>
      <w:r>
        <w:t xml:space="preserve">9.2 Demo acceptance / kill criteria</w:t>
      </w:r>
      <w:bookmarkEnd w:id="5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Proceed to live</w:t>
      </w:r>
      <w:r>
        <w:t xml:space="preserve"> </w:t>
      </w:r>
      <w:r>
        <w:t xml:space="preserve">if: realized net nightly mean (after real swap) is statistically ≥ +1.5–2 bps over ≥ 50 nights, slippage within budget, gate fidelity confirmed.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Abort / redesign</w:t>
      </w:r>
      <w:r>
        <w:t xml:space="preserve"> </w:t>
      </w:r>
      <w:r>
        <w:t xml:space="preserve">if: after ≥ 60 nights the realized net edge (post-swap) is statistically indistinguishable from ≤ 0 — this would mean current-era swap has eaten the premium (the §10.1 risk realized).</w:t>
      </w:r>
    </w:p>
    <w:p>
      <w:pPr>
        <w:pStyle w:val="Heading2"/>
      </w:pPr>
      <w:bookmarkStart w:id="52" w:name="live-deployment-protocol"/>
      <w:r>
        <w:t xml:space="preserve">9.3 Live deployment protocol</w:t>
      </w:r>
      <w:bookmarkEnd w:id="52"/>
    </w:p>
    <w:p>
      <w:pPr>
        <w:numPr>
          <w:ilvl w:val="0"/>
          <w:numId w:val="1010"/>
        </w:numPr>
        <w:pStyle w:val="Compact"/>
      </w:pPr>
      <w:r>
        <w:t xml:space="preserve">Start at</w:t>
      </w:r>
      <w:r>
        <w:t xml:space="preserve"> </w:t>
      </w:r>
      <w:r>
        <w:rPr>
          <w:b/>
        </w:rPr>
        <w:t xml:space="preserve">0.5×</w:t>
      </w:r>
      <w:r>
        <w:t xml:space="preserve"> </w:t>
      </w:r>
      <w:r>
        <w:t xml:space="preserve">(0% historical bust) on the real FTMO challenge. There is no time pressure — patience is the strategy.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Monitor daily:</w:t>
      </w:r>
      <w:r>
        <w:t xml:space="preserve"> </w:t>
      </w:r>
      <w:r>
        <w:t xml:space="preserve">distance-to-floor, daily-loss headroom, gate state, cumulative realized vs expected edge.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Hard guardrails:</w:t>
      </w:r>
      <w:r>
        <w:t xml:space="preserve"> </w:t>
      </w:r>
      <w:r>
        <w:t xml:space="preserve">never let single-night sizing exceed the level where a −5% gap breaches the daily limit (at 0.5×, that is a −10% index gap — already extreme). Consider a fixed catastrophe stop or a deep OTM put hedge across known event risk if the account size justifies the cost.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Walk-forward discipline:</w:t>
      </w:r>
      <w:r>
        <w:t xml:space="preserve"> </w:t>
      </w:r>
      <w:r>
        <w:t xml:space="preserve">the strategy has essentially one parameter (MA window) and is not re-fit, so live trading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out-of-sample test. Keep logging; revisit the sizing point quarterly against realized drift.</w:t>
      </w:r>
    </w:p>
    <w:p>
      <w:pPr>
        <w:pStyle w:val="Heading2"/>
      </w:pPr>
      <w:bookmarkStart w:id="53" w:name="oos-walk-forward-already-performed"/>
      <w:r>
        <w:t xml:space="preserve">9.4 OOS / walk-forward already performed</w:t>
      </w:r>
      <w:bookmarkEnd w:id="53"/>
    </w:p>
    <w:p>
      <w:pPr>
        <w:pStyle w:val="FirstParagraph"/>
      </w:pPr>
      <w:r>
        <w:t xml:space="preserve">The train&lt;2019 / test≥2019 split (§7.2) is the headline OOS evidence: edge persisted (indeed strengthened) through the held-out COVID + 2022 stress. For a stricter protocol, run an</w:t>
      </w:r>
      <w:r>
        <w:t xml:space="preserve"> </w:t>
      </w:r>
      <w:r>
        <w:rPr>
          <w:b/>
        </w:rPr>
        <w:t xml:space="preserve">expanding-window walk-forward</w:t>
      </w:r>
      <w:r>
        <w:t xml:space="preserve"> </w:t>
      </w:r>
      <w:r>
        <w:t xml:space="preserve">(re-evaluate each year using only prior data to set the MA) — trivial here because the strategy is parameter-light.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Xa39dafc1b094e126a901f49d84ad2069b55bd1e"/>
      <w:r>
        <w:t xml:space="preserve">10. Limitations &amp; open items (read before deploying)</w:t>
      </w:r>
      <w:bookmarkEnd w:id="54"/>
    </w:p>
    <w:p>
      <w:pPr>
        <w:pStyle w:val="Heading2"/>
      </w:pPr>
      <w:bookmarkStart w:id="55" w:name="Xa1cca74c8f786663263e50392d90b7c6f10a0f1"/>
      <w:r>
        <w:t xml:space="preserve">10.1 Overnight financing / swap — NOT yet in the numbers (priority)</w:t>
      </w:r>
      <w:bookmarkEnd w:id="55"/>
    </w:p>
    <w:p>
      <w:pPr>
        <w:pStyle w:val="FirstParagraph"/>
      </w:pPr>
      <w:r>
        <w:t xml:space="preserve">Holding a long index CFD overnight incurs a</w:t>
      </w:r>
      <w:r>
        <w:t xml:space="preserve"> </w:t>
      </w:r>
      <w:r>
        <w:rPr>
          <w:b/>
        </w:rPr>
        <w:t xml:space="preserve">swap charge ≈ (reference rate + broker spread)</w:t>
      </w:r>
      <w:r>
        <w:t xml:space="preserve"> </w:t>
      </w:r>
      <w:r>
        <w:t xml:space="preserve">every night. In the 2010–2021 zero-rate era this was ~0; at today’s ~5% rates it is</w:t>
      </w:r>
      <w:r>
        <w:t xml:space="preserve"> </w:t>
      </w:r>
      <w:r>
        <w:rPr>
          <w:b/>
        </w:rPr>
        <w:t xml:space="preserve">roughly +2 bps/night of cost</w:t>
      </w:r>
      <w:r>
        <w:t xml:space="preserve">. Since the gross gated edge is ~5.6 bps,</w:t>
      </w:r>
      <w:r>
        <w:t xml:space="preserve"> </w:t>
      </w:r>
      <w:r>
        <w:rPr>
          <w:b/>
        </w:rPr>
        <w:t xml:space="preserve">a challenge started today and held for years could see net edge fall from ~3.6 to ~1.6 bps/night</w:t>
      </w:r>
      <w:r>
        <w:t xml:space="preserve"> </w:t>
      </w:r>
      <w:r>
        <w:t xml:space="preserve">— which materially lengthens the grind and lowers every p(funded) figure in §7.</w:t>
      </w:r>
    </w:p>
    <w:p>
      <w:pPr>
        <w:pStyle w:val="BodyText"/>
      </w:pPr>
      <w:r>
        <w:t xml:space="preserve">Mitigations (confirm with FTMO before relying on them): a</w:t>
      </w:r>
      <w:r>
        <w:t xml:space="preserve"> </w:t>
      </w:r>
      <w:r>
        <w:rPr>
          <w:b/>
        </w:rPr>
        <w:t xml:space="preserve">swap-free (Islamic) account</w:t>
      </w:r>
      <w:r>
        <w:t xml:space="preserve">, or the</w:t>
      </w:r>
      <w:r>
        <w:t xml:space="preserve"> </w:t>
      </w:r>
      <w:r>
        <w:rPr>
          <w:b/>
        </w:rPr>
        <w:t xml:space="preserve">2-Step Swing account</w:t>
      </w:r>
      <w:r>
        <w:t xml:space="preserve"> </w:t>
      </w:r>
      <w:r>
        <w:t xml:space="preserve">(designed for holding overnight/weekend; leverage capped 1:30). FTMO charges standard swaps on index CFDs by default; dividends are folded into the swap.</w:t>
      </w:r>
      <w:r>
        <w:t xml:space="preserve"> </w:t>
      </w:r>
      <w:r>
        <w:rPr>
          <w:b/>
        </w:rPr>
        <w:t xml:space="preserve">Quantifying this at the current rate, by era, is the open Check 1</w:t>
      </w:r>
      <w:r>
        <w:t xml:space="preserve"> </w:t>
      </w:r>
      <w:r>
        <w:t xml:space="preserve">and should be closed with real demo swap data (§9.1).</w:t>
      </w:r>
    </w:p>
    <w:p>
      <w:pPr>
        <w:pStyle w:val="Heading2"/>
      </w:pPr>
      <w:bookmarkStart w:id="56" w:name="crash-from-highs-tail-un-hedgeable"/>
      <w:r>
        <w:t xml:space="preserve">10.2 Crash-from-highs tail (un-hedgeable)</w:t>
      </w:r>
      <w:bookmarkEnd w:id="56"/>
    </w:p>
    <w:p>
      <w:pPr>
        <w:pStyle w:val="FirstParagraph"/>
      </w:pPr>
      <w:r>
        <w:t xml:space="preserve">2010–2026 contained COVID (survived at ≤0.75×) but</w:t>
      </w:r>
      <w:r>
        <w:t xml:space="preserve"> </w:t>
      </w:r>
      <w:r>
        <w:rPr>
          <w:b/>
        </w:rPr>
        <w:t xml:space="preserve">no 1987/2008-magnitude overnight gap from above the MA</w:t>
      </w:r>
      <w:r>
        <w:t xml:space="preserve">. A worse-than-COVID gap busts even small sizes. This is an irreducible tail for any overnight-long holder; size and/or a catastrophe hedge are the only levers. Apply a planning haircut.</w:t>
      </w:r>
    </w:p>
    <w:p>
      <w:pPr>
        <w:pStyle w:val="Heading2"/>
      </w:pPr>
      <w:bookmarkStart w:id="57" w:name="it-is-beta-not-alpha"/>
      <w:r>
        <w:t xml:space="preserve">10.3 It is beta, not alpha</w:t>
      </w:r>
      <w:bookmarkEnd w:id="57"/>
    </w:p>
    <w:p>
      <w:pPr>
        <w:pStyle w:val="FirstParagraph"/>
      </w:pPr>
      <w:r>
        <w:t xml:space="preserve">Net Sharpe ~0.8–0.9; long-equity exposure. The high pass probability comes from the barrier geometry under no time limit, not from a market-neutral edge. It bleeds in chop years (2016: −9%). Size and diversify (√N) accordingly; do not mistake it for uncorrelated alpha.</w:t>
      </w:r>
    </w:p>
    <w:p>
      <w:pPr>
        <w:pStyle w:val="Heading2"/>
      </w:pPr>
      <w:bookmarkStart w:id="58" w:name="time-opportunity-cost"/>
      <w:r>
        <w:t xml:space="preserve">10.4 Time &amp; opportunity cost</w:t>
      </w:r>
      <w:bookmarkEnd w:id="58"/>
    </w:p>
    <w:p>
      <w:pPr>
        <w:pStyle w:val="FirstParagraph"/>
      </w:pPr>
      <w:r>
        <w:t xml:space="preserve">Median 1.5–3.5 years; 5–12% of starts never finish within 16 years. Confirm FTMO’s</w:t>
      </w:r>
      <w:r>
        <w:t xml:space="preserve"> </w:t>
      </w:r>
      <w:r>
        <w:rPr>
          <w:b/>
        </w:rPr>
        <w:t xml:space="preserve">inactivity rules, recurring account fees, and any expiration</w:t>
      </w:r>
      <w:r>
        <w:t xml:space="preserve"> </w:t>
      </w:r>
      <w:r>
        <w:t xml:space="preserve">for a multi-year hold (open Check 3). Weigh against the opportunity cost of capital and attention over that horizon.</w:t>
      </w:r>
    </w:p>
    <w:p>
      <w:pPr>
        <w:pStyle w:val="Heading2"/>
      </w:pPr>
      <w:bookmarkStart w:id="59" w:name="single-asset-concentration"/>
      <w:r>
        <w:t xml:space="preserve">10.5 Single-asset concentration</w:t>
      </w:r>
      <w:bookmarkEnd w:id="59"/>
    </w:p>
    <w:p>
      <w:pPr>
        <w:pStyle w:val="FirstParagraph"/>
      </w:pPr>
      <w:r>
        <w:t xml:space="preserve">All numbers are NQ/US100 only. Until replicated on ES/DAX (Check 4), treat as a single-instrument result.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reproduction-instructions"/>
      <w:r>
        <w:t xml:space="preserve">11. Reproduction instructions</w:t>
      </w:r>
      <w:bookmarkEnd w:id="60"/>
    </w:p>
    <w:p>
      <w:pPr>
        <w:pStyle w:val="SourceCode"/>
      </w:pPr>
      <w:r>
        <w:rPr>
          <w:rStyle w:val="CommentTok"/>
        </w:rPr>
        <w:t xml:space="preserve"># 1.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pip install pandas numpy pyarrow matplotlib openpyxl</w:t>
      </w:r>
      <w:r>
        <w:br/>
      </w:r>
      <w:r>
        <w:br/>
      </w:r>
      <w:r>
        <w:rPr>
          <w:rStyle w:val="CommentTok"/>
        </w:rPr>
        <w:t xml:space="preserve"># 2. Reproduce every number in §7 (nightly, OOS split, equity, FTMO table)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overnight_harvester.py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</w:t>
      </w:r>
      <w:r>
        <w:rPr>
          <w:rStyle w:val="NormalTok"/>
        </w:rPr>
        <w:t xml:space="preserve"> /path/to/NQ_1min_databento_2010-2026.parquet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--out</w:t>
      </w:r>
      <w:r>
        <w:rPr>
          <w:rStyle w:val="NormalTok"/>
        </w:rPr>
        <w:t xml:space="preserve">  ./repro_out</w:t>
      </w:r>
      <w:r>
        <w:br/>
      </w:r>
      <w:r>
        <w:br/>
      </w:r>
      <w:r>
        <w:rPr>
          <w:rStyle w:val="CommentTok"/>
        </w:rPr>
        <w:t xml:space="preserve"># 3. Sensitivity grids (stress tests §8.3)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overnight_harvester.py --data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parquet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--ma 150 --out ./ma150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overnight_harvester.py --data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parquet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--cost-bps 4 --out ./cost4</w:t>
      </w:r>
      <w:r>
        <w:br/>
      </w:r>
      <w:r>
        <w:br/>
      </w:r>
      <w:r>
        <w:rPr>
          <w:rStyle w:val="CommentTok"/>
        </w:rPr>
        <w:t xml:space="preserve"># 4. Cross-asset replication (√N) — point at a clean ES or DAX 1-min parquet</w:t>
      </w:r>
      <w:r>
        <w:br/>
      </w:r>
      <w:r>
        <w:rPr>
          <w:rStyle w:val="CommentTok"/>
        </w:rPr>
        <w:t xml:space="preserve">#    with the same schema (open, close, is_rth, is_roll_day, tz-aware UTC index)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overnight_harvester.py --data /path/to/ES_1min.parquet --out ./es</w:t>
      </w:r>
    </w:p>
    <w:p>
      <w:pPr>
        <w:pStyle w:val="FirstParagraph"/>
      </w:pPr>
      <w:r>
        <w:rPr>
          <w:b/>
        </w:rPr>
        <w:t xml:space="preserve">Expected console output</w:t>
      </w:r>
      <w:r>
        <w:t xml:space="preserve"> </w:t>
      </w:r>
      <w:r>
        <w:t xml:space="preserve">matches §7 exactly (period 2010-06-07…2026-05-29, 4041 days; nightly net +3.59 bps Sharpe 0.87; OOS &lt;2019 +2.03 / ≥2019 +5.32; FTMO 0.5×=88.3% / 0.75×=81.5% / 1.0×=66.0%). Outputs</w:t>
      </w:r>
      <w:r>
        <w:t xml:space="preserve"> </w:t>
      </w:r>
      <w:r>
        <w:rPr>
          <w:rStyle w:val="VerbatimChar"/>
        </w:rPr>
        <w:t xml:space="preserve">metrics_summary.json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regime_by_year.csv</w:t>
      </w:r>
      <w:r>
        <w:t xml:space="preserve">.</w:t>
      </w:r>
    </w:p>
    <w:p>
      <w:pPr>
        <w:pStyle w:val="BodyText"/>
      </w:pPr>
      <w:r>
        <w:rPr>
          <w:b/>
        </w:rPr>
        <w:t xml:space="preserve">Files in this dossier folder: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STRATEGY_DOSSIER.md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overnight_harvester.py</w:t>
            </w:r>
          </w:p>
        </w:tc>
        <w:tc>
          <w:p>
            <w:pPr>
              <w:pStyle w:val="Compact"/>
              <w:jc w:val="left"/>
            </w:pPr>
            <w:r>
              <w:t xml:space="preserve">clean reference implementation (data, signal, backtest, FTMO sim, OOS, CLI)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nq_metrics.py</w:t>
            </w:r>
          </w:p>
        </w:tc>
        <w:tc>
          <w:p>
            <w:pPr>
              <w:pStyle w:val="Compact"/>
              <w:jc w:val="left"/>
            </w:pPr>
            <w:r>
              <w:t xml:space="preserve">original analysis script (also generates the figures + xlsx)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NQ_overnight_metrics.xlsx</w:t>
            </w:r>
          </w:p>
        </w:tc>
        <w:tc>
          <w:p>
            <w:pPr>
              <w:pStyle w:val="Compact"/>
              <w:jc w:val="left"/>
            </w:pPr>
            <w:r>
              <w:t xml:space="preserve">all result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metrics_summary.json</w:t>
            </w:r>
          </w:p>
        </w:tc>
        <w:tc>
          <w:p>
            <w:pPr>
              <w:pStyle w:val="Compact"/>
              <w:jc w:val="left"/>
            </w:pPr>
            <w:r>
              <w:t xml:space="preserve">machine-readable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regime_by_year.csv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p_pass_by_{week,month}_*.csv</w:t>
            </w:r>
          </w:p>
        </w:tc>
        <w:tc>
          <w:p>
            <w:pPr>
              <w:pStyle w:val="Compact"/>
              <w:jc w:val="left"/>
            </w:pPr>
            <w:r>
              <w:t xml:space="preserve">result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fig1_p_pass_curve.png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fig2_by_year.png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fig3_outcomes.png</w:t>
            </w:r>
          </w:p>
        </w:tc>
        <w:tc>
          <w:p>
            <w:pPr>
              <w:pStyle w:val="Compact"/>
              <w:jc w:val="left"/>
            </w:pPr>
            <w:r>
              <w:t xml:space="preserve">figures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bottom-line"/>
      <w:r>
        <w:t xml:space="preserve">12. Bottom line</w:t>
      </w:r>
      <w:bookmarkEnd w:id="61"/>
    </w:p>
    <w:p>
      <w:pPr>
        <w:pStyle w:val="FirstParagraph"/>
      </w:pPr>
      <w:r>
        <w:t xml:space="preserve">A 200-day-MA-gated overnight equity-drift harvester on NQ, sized small with no time limit, reaches</w:t>
      </w:r>
      <w:r>
        <w:t xml:space="preserve"> </w:t>
      </w:r>
      <w:r>
        <w:rPr>
          <w:b/>
        </w:rPr>
        <w:t xml:space="preserve">p(funded) ≈ 82–88%</w:t>
      </w:r>
      <w:r>
        <w:t xml:space="preserve"> </w:t>
      </w:r>
      <w:r>
        <w:t xml:space="preserve">on clean contiguous 2010–2026 data —</w:t>
      </w:r>
      <w:r>
        <w:t xml:space="preserve"> </w:t>
      </w:r>
      <w:r>
        <w:rPr>
          <w:b/>
        </w:rPr>
        <w:t xml:space="preserve">surviving COVID-2020 and the 2022 bear out-of-sample</w:t>
      </w:r>
      <w:r>
        <w:t xml:space="preserve">. It is the most credible FTMO vehicle in the research arc. Its honest deployable probability is</w:t>
      </w:r>
      <w:r>
        <w:t xml:space="preserve"> </w:t>
      </w:r>
      <w:r>
        <w:rPr>
          <w:b/>
        </w:rPr>
        <w:t xml:space="preserve">~70–80%</w:t>
      </w:r>
      <w:r>
        <w:t xml:space="preserve"> </w:t>
      </w:r>
      <w:r>
        <w:t xml:space="preserve">after a haircut for current-era swap and the un-sampled severe-crash tail. It is</w:t>
      </w:r>
      <w:r>
        <w:t xml:space="preserve"> </w:t>
      </w:r>
      <w:r>
        <w:rPr>
          <w:b/>
        </w:rPr>
        <w:t xml:space="preserve">beta harvested patiently, not alpha</w:t>
      </w:r>
      <w:r>
        <w:t xml:space="preserve">: the price of the high probability is</w:t>
      </w:r>
      <w: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(a multi-year grind) and exposure to a</w:t>
      </w:r>
      <w:r>
        <w:t xml:space="preserve"> </w:t>
      </w:r>
      <w:r>
        <w:rPr>
          <w:b/>
        </w:rPr>
        <w:t xml:space="preserve">rare crash-from-highs gap</w:t>
      </w:r>
      <w:r>
        <w:t xml:space="preserve">. Deploy only with a swap-free/Swing account, sizing ≤ 0.75× (0.5× for zero historical bust), demo-validated swap and execution, and eyes open to §10.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X29807698de9889c1da1b9425845cb1397e3e783"/>
      <w:r>
        <w:t xml:space="preserve">13. References (verify exact citations before publication)</w:t>
      </w:r>
      <w:bookmarkEnd w:id="62"/>
    </w:p>
    <w:p>
      <w:pPr>
        <w:numPr>
          <w:ilvl w:val="0"/>
          <w:numId w:val="1011"/>
        </w:numPr>
        <w:pStyle w:val="Compact"/>
      </w:pPr>
      <w:r>
        <w:t xml:space="preserve">Cooper, Cliff &amp; Gulen (2008),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Return Differences between Trading and Non-Trading Hours: Like Night and Day.</w:t>
      </w:r>
      <w:r>
        <w:rPr>
          <w:i/>
        </w:rPr>
        <w:t xml:space="preserve">”</w:t>
      </w:r>
      <w:r>
        <w:t xml:space="preserve"> </w:t>
      </w:r>
      <w:r>
        <w:t xml:space="preserve">— overnight vs intraday return decomposition; overnight dominance.</w:t>
      </w:r>
    </w:p>
    <w:p>
      <w:pPr>
        <w:numPr>
          <w:ilvl w:val="0"/>
          <w:numId w:val="1011"/>
        </w:numPr>
        <w:pStyle w:val="Compact"/>
      </w:pPr>
      <w:r>
        <w:t xml:space="preserve">Lou, Polk &amp; Skouras (2019),</w:t>
      </w:r>
      <w:r>
        <w:t xml:space="preserve"> </w:t>
      </w:r>
      <w:r>
        <w:rPr>
          <w:i/>
        </w:rPr>
        <w:t xml:space="preserve">Journal of Financial Economics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Tug of War: Overnight versus Intraday Expected Returns.</w:t>
      </w:r>
      <w:r>
        <w:rPr>
          <w:i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Hendershott, Livdan &amp; Rösch (2020),</w:t>
      </w:r>
      <w:r>
        <w:t xml:space="preserve"> </w:t>
      </w:r>
      <w:r>
        <w:rPr>
          <w:i/>
        </w:rPr>
        <w:t xml:space="preserve">Journal of Financial Economics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Asset Pricing: A Tale of Night and Day.</w:t>
      </w:r>
      <w:r>
        <w:rPr>
          <w:i/>
        </w:rPr>
        <w:t xml:space="preserve">”</w:t>
      </w:r>
      <w:r>
        <w:t xml:space="preserve"> </w:t>
      </w:r>
      <w:r>
        <w:t xml:space="preserve">— market beta is earned overnight, not intraday.</w:t>
      </w:r>
    </w:p>
    <w:p>
      <w:pPr>
        <w:numPr>
          <w:ilvl w:val="0"/>
          <w:numId w:val="1011"/>
        </w:numPr>
        <w:pStyle w:val="Compact"/>
      </w:pPr>
      <w:r>
        <w:t xml:space="preserve">Berkman, Koch, Tuttle &amp; Zhang (2012),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Paying Attention: Overnight Returns and the Hidden Cost of Buying at the Open.</w:t>
      </w:r>
      <w:r>
        <w:rPr>
          <w:i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Bogousslavsky (2021),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Cross-Section of Intraday and Overnight Returns.</w:t>
      </w:r>
      <w:r>
        <w:rPr>
          <w:i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FTMO trading conditions &amp; account types (swap, Swing, Islamic) — confirm current terms at ftmo.com before deployment.</w:t>
      </w:r>
    </w:p>
    <w:p>
      <w:pPr>
        <w:pStyle w:val="FirstParagraph"/>
      </w:pPr>
      <w:r>
        <w:rPr>
          <w:i/>
        </w:rPr>
        <w:t xml:space="preserve">Internal companion notes (same research folder):</w:t>
      </w:r>
      <w:r>
        <w:rPr>
          <w:i/>
        </w:rPr>
        <w:t xml:space="preserve"> </w:t>
      </w:r>
      <w:r>
        <w:rPr>
          <w:rStyle w:val="VerbatimChar"/>
          <w:i/>
        </w:rPr>
        <w:t xml:space="preserve">SCAN_ftmo_families.md</w:t>
      </w:r>
      <w:r>
        <w:rPr>
          <w:i/>
        </w:rPr>
        <w:t xml:space="preserve"> </w:t>
      </w:r>
      <w:r>
        <w:rPr>
          <w:i/>
        </w:rPr>
        <w:t xml:space="preserve">(the elimination tournament),</w:t>
      </w:r>
      <w:r>
        <w:rPr>
          <w:i/>
        </w:rPr>
        <w:t xml:space="preserve"> </w:t>
      </w:r>
      <w:r>
        <w:rPr>
          <w:rStyle w:val="VerbatimChar"/>
          <w:i/>
        </w:rPr>
        <w:t xml:space="preserve">REGIME_modeling_NQ.md</w:t>
      </w:r>
      <w:r>
        <w:rPr>
          <w:i/>
        </w:rPr>
        <w:t xml:space="preserve"> </w:t>
      </w:r>
      <w:r>
        <w:rPr>
          <w:i/>
        </w:rPr>
        <w:t xml:space="preserve">(nowcast vs forecast),</w:t>
      </w:r>
      <w:r>
        <w:rPr>
          <w:i/>
        </w:rPr>
        <w:t xml:space="preserve"> </w:t>
      </w:r>
      <w:r>
        <w:rPr>
          <w:rStyle w:val="VerbatimChar"/>
          <w:i/>
        </w:rPr>
        <w:t xml:space="preserve">OPTIM_execution_realism.md</w:t>
      </w:r>
      <w:r>
        <w:rPr>
          <w:i/>
        </w:rPr>
        <w:t xml:space="preserve"> </w:t>
      </w:r>
      <w:r>
        <w:rPr>
          <w:i/>
        </w:rPr>
        <w:t xml:space="preserve">(stop-fill realism),</w:t>
      </w:r>
      <w:r>
        <w:rPr>
          <w:i/>
        </w:rPr>
        <w:t xml:space="preserve"> </w:t>
      </w:r>
      <w:r>
        <w:rPr>
          <w:rStyle w:val="VerbatimChar"/>
          <w:i/>
        </w:rPr>
        <w:t xml:space="preserve">OVERNIGHT_drift_findings.md</w:t>
      </w:r>
      <w:r>
        <w:rPr>
          <w:i/>
        </w:rPr>
        <w:t xml:space="preserve"> </w:t>
      </w:r>
      <w:r>
        <w:rPr>
          <w:i/>
        </w:rPr>
        <w:t xml:space="preserve">(the corrected finding),</w:t>
      </w:r>
      <w:r>
        <w:rPr>
          <w:i/>
        </w:rPr>
        <w:t xml:space="preserve"> </w:t>
      </w:r>
      <w:r>
        <w:rPr>
          <w:rStyle w:val="VerbatimChar"/>
          <w:i/>
        </w:rPr>
        <w:t xml:space="preserve">OVERNIGHT_drift_hardening</w:t>
      </w:r>
      <w:r>
        <w:rPr>
          <w:i/>
        </w:rPr>
        <w:t xml:space="preserve"> </w:t>
      </w:r>
      <w:r>
        <w:rPr>
          <w:i/>
        </w:rPr>
        <w:t xml:space="preserve">(open Checks 1–4).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1" Target="media/rId4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MA200-Gated Overnight Equity-Drift Harvester</dc:title>
  <dc:creator>FTMO Research Arc — Quantitative Strategy Group</dc:creator>
  <cp:keywords/>
  <dcterms:created xsi:type="dcterms:W3CDTF">2026-06-02T21:46:53Z</dcterms:created>
  <dcterms:modified xsi:type="dcterms:W3CDTF">2026-06-02T21:46:53Z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Institutional strategy dossier — specification, evidence, and deployment protocol for FTMO 2-step funding</vt:lpwstr>
  </property>
  <property fmtid="{D5CDD505-2E9C-101B-9397-08002B2CF9AE}" pid="4" name="version">
    <vt:lpwstr>1.0</vt:lpwstr>
  </property>
</Properties>
</file>