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864"/>
          <w:sz w:val="48"/>
          <w:szCs w:val="48"/>
        </w:rPr>
        <w:t xml:space="preserve">Recherche de stratégies de trading</w:t>
      </w:r>
    </w:p>
    <w:p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 xml:space="preserve">systématique pour challenge FTMO 2‑step</w:t>
      </w:r>
    </w:p>
    <w:p>
      <w:pPr>
        <w:jc w:val="center"/>
      </w:pPr>
      <w:r>
        <w:rPr>
          <w:color w:val="404040"/>
          <w:sz w:val="26"/>
          <w:szCs w:val="26"/>
        </w:rPr>
        <w:t xml:space="preserve">Sélection, backtest et stress‑test de 3 stratégies intraday</w:t>
      </w:r>
    </w:p>
    <w:p>
      <w:pPr>
        <w:spacing w:after="600"/>
        <w:jc w:val="center"/>
      </w:pPr>
      <w:r>
        <w:rPr>
          <w:color w:val="404040"/>
          <w:sz w:val="26"/>
          <w:szCs w:val="26"/>
        </w:rPr>
        <w:t xml:space="preserve">sous contraintes 10 % DD max / 5 % DD journalier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Note de recherche quantitative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Prodige  ·  Juin 2026</w:t>
      </w:r>
    </w:p>
    <w:p>
      <w:pPr>
        <w:jc w:val="center"/>
      </w:pPr>
      <w:r>
        <w:rPr>
          <w:color w:val="808080"/>
          <w:sz w:val="18"/>
          <w:szCs w:val="18"/>
        </w:rPr>
        <w:t xml:space="preserve">Univers FTMO  ·  données M1 2018–2026  ·  fenêtre propre 2021–2026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80"/>
      </w:pPr>
      <w:r>
        <w:t xml:space="preserve"/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1. Résumé exécutif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2. Cadre &amp; contraintes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3. Données &amp; modèle de coûts</w:t>
      </w:r>
      <w:r>
        <w:rPr>
          <w:color w:val="222222"/>
          <w:sz w:val="22"/>
          <w:szCs w:val="22"/>
        </w:rPr>
        <w:t xml:space="preserve">	3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4. Méthodologie &amp; contrôles anti‑biais</w:t>
      </w:r>
      <w:r>
        <w:rPr>
          <w:color w:val="222222"/>
          <w:sz w:val="22"/>
          <w:szCs w:val="22"/>
        </w:rPr>
        <w:t xml:space="preserve">	4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5. Entonnoir : 105 candidats → 3 finalistes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6. Les trois stratégies retenues</w:t>
      </w:r>
      <w:r>
        <w:rPr>
          <w:color w:val="222222"/>
          <w:sz w:val="22"/>
          <w:szCs w:val="22"/>
        </w:rPr>
        <w:t xml:space="preserve">	5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7. Portefeuille combiné</w:t>
      </w:r>
      <w:r>
        <w:rPr>
          <w:color w:val="222222"/>
          <w:sz w:val="22"/>
          <w:szCs w:val="22"/>
        </w:rPr>
        <w:t xml:space="preserve">	8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8. Conformité FTMO &amp; probabilité de passage</w:t>
      </w:r>
      <w:r>
        <w:rPr>
          <w:color w:val="222222"/>
          <w:sz w:val="22"/>
          <w:szCs w:val="22"/>
        </w:rPr>
        <w:t xml:space="preserve">	9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9. Stress tests</w:t>
      </w:r>
      <w:r>
        <w:rPr>
          <w:color w:val="222222"/>
          <w:sz w:val="22"/>
          <w:szCs w:val="22"/>
        </w:rPr>
        <w:t xml:space="preserve">	10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10. Limites &amp; recommandations de déploiement</w:t>
      </w:r>
      <w:r>
        <w:rPr>
          <w:color w:val="222222"/>
          <w:sz w:val="22"/>
          <w:szCs w:val="22"/>
        </w:rPr>
        <w:t xml:space="preserve">	11</w:t>
      </w:r>
    </w:p>
    <w:p>
      <w:pPr>
        <w:tabs>
          <w:tab w:val="right" w:pos="9200" w:leader="dot"/>
        </w:tabs>
        <w:spacing w:after="90"/>
      </w:pPr>
      <w:r>
        <w:rPr>
          <w:color w:val="222222"/>
          <w:sz w:val="22"/>
          <w:szCs w:val="22"/>
        </w:rPr>
        <w:t xml:space="preserve">Annexe — Les 105 candidats</w:t>
      </w:r>
      <w:r>
        <w:rPr>
          <w:color w:val="222222"/>
          <w:sz w:val="22"/>
          <w:szCs w:val="22"/>
        </w:rPr>
        <w:t xml:space="preserve">	12</w:t>
      </w:r>
    </w:p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 w:line="276"/>
      </w:pPr>
      <w:r>
        <w:t xml:space="preserve">À partir de l’univers FTMO et de données minute (M1) 2018–2026, j’ai généré </w:t>
      </w:r>
      <w:r>
        <w:rPr>
          <w:b/>
          <w:bCs/>
        </w:rPr>
        <w:t xml:space="preserve">105 stratégies candidates</w:t>
      </w:r>
      <w:r>
        <w:t xml:space="preserve"> intraday, les ai filtrées par un backtest vectorisé incluant les coûts réels, puis affiné les survivantes. Trois moteurs de performance </w:t>
      </w:r>
      <w:r>
        <w:rPr>
          <w:b/>
          <w:bCs/>
        </w:rPr>
        <w:t xml:space="preserve">décorrélés</w:t>
      </w:r>
      <w:r>
        <w:t xml:space="preserve"> ressortent — tous sur indices actions, seul segment où un edge intraday survit aux frais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S1 — Momentum intraday US100</w:t>
      </w:r>
      <w:r>
        <w:t xml:space="preserve"> : momentum time‑series long/short (Nasdaq tend intraday). Le plus robuste (survit à 3× les coûts).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S2 — Reversion cross‑sectionnelle indices</w:t>
      </w:r>
      <w:r>
        <w:t xml:space="preserve"> : long/short dollar‑neutre US500/US100/US30/US2000. Diversifiant market‑neutral.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S3 — Dérive actions d’après‑midi</w:t>
      </w:r>
      <w:r>
        <w:t xml:space="preserve"> : long ensemble en séance PM (prime de risque / flux de clôture).</w:t>
      </w:r>
    </w:p>
    <w:p>
      <w:pPr>
        <w:spacing w:after="120" w:line="276"/>
      </w:pPr>
      <w:r>
        <w:t xml:space="preserve">Combinées à parts égales, les corrélations quasi nulles (|ρ| ≤ 0,18) portent le </w:t>
      </w:r>
      <w:r>
        <w:rPr>
          <w:b/>
          <w:bCs/>
        </w:rPr>
        <w:t xml:space="preserve">Sharpe à 0,99 et le Calmar à 0,97</w:t>
      </w:r>
      <w:r>
        <w:t xml:space="preserve">, pour +7,2 %/an au sizing FTMO‑safe, avec un drawdown maximal de 7,5 % et </w:t>
      </w:r>
      <w:r>
        <w:rPr>
          <w:b/>
          <w:bCs/>
        </w:rPr>
        <w:t xml:space="preserve">zéro violation</w:t>
      </w:r>
      <w:r>
        <w:t xml:space="preserve"> des limites 5 %/10 % sur 2021–2026 (incluant le bear 2022).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20"/>
        <w:gridCol w:w="820"/>
        <w:gridCol w:w="820"/>
        <w:gridCol w:w="1180"/>
        <w:gridCol w:w="1100"/>
        <w:gridCol w:w="860"/>
        <w:gridCol w:w="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Stratégie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Calmar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Skew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gagnants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Rdt/an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DD max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Momentum intraday US100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+2.88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1.16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5.9%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 Reversion cross-sectionnelle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+0.08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51.7%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 Dérive actions d’après-midi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36.2%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Portefeuille combiné (1/3 chacune) 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+1.79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42.3%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7.2%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7.5%</w:t>
            </w:r>
          </w:p>
        </w:tc>
      </w:tr>
    </w:tbl>
    <w:p>
      <w:pPr>
        <w:spacing w:after="120" w:before="60"/>
      </w:pPr>
      <w:r>
        <w:rPr>
          <w:b/>
          <w:bCs/>
          <w:i/>
          <w:iCs/>
        </w:rPr>
        <w:t xml:space="preserve">Note : </w:t>
      </w:r>
      <w:r>
        <w:rPr>
          <w:i/>
          <w:iCs/>
        </w:rPr>
        <w:t xml:space="preserve">le risque de ruine est ~nul ; la vraie contrainte est le </w:t>
      </w:r>
      <w:r>
        <w:rPr>
          <w:b/>
          <w:bCs/>
          <w:i/>
          <w:iCs/>
        </w:rPr>
        <w:t xml:space="preserve">délai</w:t>
      </w:r>
      <w:r>
        <w:rPr>
          <w:i/>
          <w:iCs/>
        </w:rPr>
        <w:t xml:space="preserve"> pour atteindre +10 % (médiane ~6–9 mois). Ce sont des systèmes à forte probabilité de passage et faible risque de blow‑up, pas des paris rapides.</w:t>
      </w:r>
    </w:p>
    <w:p>
      <w:pPr>
        <w:pStyle w:val="Heading1"/>
      </w:pPr>
      <w:r>
        <w:t xml:space="preserve">2. Cadre &amp; contraintes (les seules règles appliquées)</w:t>
      </w:r>
    </w:p>
    <w:p>
      <w:pPr>
        <w:spacing w:after="120" w:line="276"/>
      </w:pPr>
      <w:r>
        <w:t xml:space="preserve">Conformément au mandat, les seules règles imposées sont celles de l’énoncé ; les dossiers du projet n’ont servi que de source de données (aucune règle interne reprise)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Challenge FTMO 2‑step : objectif +10 % (étape 1) puis +5 % (étape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Perte maximale : 10 % du solde initial (ligne statique à 90 %).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Perte journalière maximale : 5 % de l’équité de début de journée (mesurée sur l’équité flottante, pas seulement réalisée).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Détention intraday stricte : positions plates à la clôture de session (aucun risque overnight, gap, week‑end ni swap).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Compte de référence 100 000 $ ; comptabilité « jour » à l’heure serveur (Europe/Prague).</w:t>
      </w:r>
    </w:p>
    <w:p>
      <w:pPr>
        <w:pStyle w:val="Heading1"/>
      </w:pPr>
      <w:r>
        <w:t xml:space="preserve">3. Données &amp; modèle de coûts</w:t>
      </w:r>
    </w:p>
    <w:p>
      <w:pPr>
        <w:spacing w:after="120" w:line="276"/>
      </w:pPr>
      <w:r>
        <w:t xml:space="preserve">Données MT5 M1 (2018–2026) pour 17 instruments (10 paires FX, 5 indices, XAUUSD, BTCUSD), avec une </w:t>
      </w:r>
      <w:r>
        <w:rPr>
          <w:b/>
          <w:bCs/>
        </w:rPr>
        <w:t xml:space="preserve">colonne de spread réel par minute</w:t>
      </w:r>
      <w:r>
        <w:t xml:space="preserve"> — base d’un coût d’exécution réaliste plutôt que forfaitaire. Resampling en M5/M15, nettoyage des barres aberrantes.</w:t>
      </w:r>
    </w:p>
    <w:p>
      <w:pPr>
        <w:spacing w:after="120" w:line="276"/>
      </w:pPr>
      <w:r>
        <w:rPr>
          <w:b/>
          <w:bCs/>
        </w:rPr>
        <w:t xml:space="preserve">Contrôle qualité décisif : </w:t>
      </w:r>
      <w:r>
        <w:t xml:space="preserve">le vrai intraday des indices US ne commence qu’en </w:t>
      </w:r>
      <w:r>
        <w:rPr>
          <w:b/>
          <w:bCs/>
        </w:rPr>
        <w:t xml:space="preserve">2021</w:t>
      </w:r>
      <w:r>
        <w:t xml:space="preserve"> (avant, seules des barres journalières « déguisées » existent). L’évaluation finale est donc restreinte à la </w:t>
      </w:r>
      <w:r>
        <w:rPr>
          <w:b/>
          <w:bCs/>
        </w:rPr>
        <w:t xml:space="preserve">fenêtre propre 2021–2026 (~5,4 ans)</w:t>
      </w:r>
      <w:r>
        <w:t xml:space="preserve">, qui inclut le bull 2021, le bear 2022 et la reprise 2023–2026.</w:t>
      </w:r>
    </w:p>
    <w:p>
      <w:pPr>
        <w:spacing w:after="120" w:line="276"/>
      </w:pPr>
      <w:r>
        <w:t xml:space="preserve">Coûts appliqués (aller‑retour), déduits sur chaque transaction des deux côtés du spread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FX : spread réel croisé + commission 2,5 $/lot/côté (≈ 0,5 pip ; ex. EURUSD ≈ 0,55 bp aller‑retour).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Indices / métaux / crypto : spread réel (FTMO sans commission séparée ; ex. US30 ≈ 0,35 bp aller‑retour).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Slippage paramétrable (×1 en base, ×2/×3 en stress) ; remplissage conservateur (entrée au bar suivant).</w:t>
      </w:r>
    </w:p>
    <w:p>
      <w:pPr>
        <w:pStyle w:val="Heading1"/>
      </w:pPr>
      <w:r>
        <w:t xml:space="preserve">4. Méthodologie &amp; contrôles anti‑biais</w:t>
      </w:r>
    </w:p>
    <w:p>
      <w:pPr>
        <w:spacing w:after="120" w:line="276"/>
      </w:pPr>
      <w:r>
        <w:t xml:space="preserve">Le moteur de backtest a été conçu pour éliminer les erreurs classiques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 de look‑ahead : </w:t>
      </w:r>
      <w:r>
        <w:t xml:space="preserve">signal calculé à la clôture du bar i, exécution à l’ouverture du bar i+1. Vérifié (signal 10:00 → entrée 11:00).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Remplissage intrabar conservateur : </w:t>
      </w:r>
      <w:r>
        <w:t xml:space="preserve">si SL et TP sont touchés dans le même bar, on suppose le SL d’abord (worst‑case).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Drawdown sur équité flottante : </w:t>
      </w:r>
      <w:r>
        <w:t xml:space="preserve">la limite 5 % journalière est testée sur le plus mauvais mark‑to‑market intra‑journée (excursion adverse maximale, MAE), pas seulement le P&amp;L réalisé.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Sizing FTMO‑safe : </w:t>
      </w:r>
      <w:r>
        <w:t xml:space="preserve">risque/trade calibré pour que le pire DD journalier flottant historique ≤ 4 % et le DD flottant max ≤ 8 % (marge sous 5 %/10 %).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Représentation en R‑multiples : </w:t>
      </w:r>
      <w:r>
        <w:t xml:space="preserve">séparation nette entre l’edge (qualité du flux de trades) et le sizing (effet de levier).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Validation indépendante : </w:t>
      </w:r>
      <w:r>
        <w:t xml:space="preserve">Sharpe recalculé hors‑moteur (0,728 ≡ 0,728), coûts confirmés (brut 0,156 R → net 0,119 R), équité jamais &lt; 0,90.</w:t>
      </w:r>
    </w:p>
    <w:p>
      <w:r>
        <w:br w:type="page"/>
      </w:r>
    </w:p>
    <w:p>
      <w:pPr>
        <w:pStyle w:val="Heading1"/>
      </w:pPr>
      <w:r>
        <w:t xml:space="preserve">5. Entonnoir : 105 candidats → 3 finalistes</w:t>
      </w:r>
    </w:p>
    <w:p>
      <w:pPr>
        <w:spacing w:after="120" w:line="276"/>
      </w:pPr>
      <w:r>
        <w:t xml:space="preserve">Dix familles de stratégies intraday ont été instanciées sur les instruments et sessions pertinents (105 candidats), puis backtestées en M15 avec coûts. Résultat sobre et honnête : la plupart des cassures/réversions naïves ne survivent pas aux frais — seuls 6 candidats affichent un Sharpe positif.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60"/>
        <w:gridCol w:w="2900"/>
        <w:gridCol w:w="36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 screening (Sharpe médian M15)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session_breakout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Breakout (cassure)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vwap_revert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Mean-reversion VWAP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atr_channel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Breakout volatilité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reversal_z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Reversion court terme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asian_break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Breakout range asiatique (FX)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session_fade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Fade de range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donchian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Breakout Donchian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mom_pullback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Pullback de tendance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négatif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time_drift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Dérive horaire (saisonnalité)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0 à +0.6 (survivant)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gap_fade</w:t>
            </w:r>
          </w:p>
        </w:tc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Fade de gap (indices)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mixte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Enseignement : </w:t>
      </w:r>
      <w:r>
        <w:t xml:space="preserve">l’edge intraday robuste se concentre sur les indices actions (la dérive directionnelle survit ; gap/fade ont un skew extrême et fragile). Les familles momentum/breakout naïves et le cross‑sectional FX échouent. J’ai donc ingénié une seconde vague de stratégies mieux motivées (momentum conditionnel Gao‑Han‑Li‑Zhou, reversion cross‑sectionnelle, dérive horaire) validées en M5 → les 3 finalistes. La liste complète des 105 candidats est en annexe.</w:t>
      </w:r>
    </w:p>
    <w:p>
      <w:pPr>
        <w:pStyle w:val="Heading1"/>
      </w:pPr>
      <w:r>
        <w:t xml:space="preserve">6. Les trois stratégies retenues</w:t>
      </w:r>
    </w:p>
    <w:p>
      <w:pPr>
        <w:pStyle w:val="Heading2"/>
      </w:pPr>
      <w:r>
        <w:t xml:space="preserve">S1 — Momentum intraday US100</w:t>
      </w:r>
    </w:p>
    <w:p>
      <w:pPr>
        <w:spacing w:after="120" w:line="276"/>
      </w:pPr>
      <w:r>
        <w:rPr>
          <w:b/>
          <w:bCs/>
        </w:rPr>
        <w:t xml:space="preserve">Logique : </w:t>
      </w:r>
      <w:r>
        <w:t xml:space="preserve">À 11:00 ET (ouverture + 90 min), on calcule le signe du rendement depuis l’ouverture 09:30. Long si positif, short si négatif (filtre |mouvement| &gt; 0,3×ATR). Le Nasdaq présentant une persistance de tendance intraday (Gao‑Han‑Li‑Zhou, 2018), on accompagne le mouvement jusqu’à la clôture cash.</w:t>
      </w:r>
    </w:p>
    <w:p>
      <w:pPr>
        <w:spacing w:after="120" w:line="276"/>
      </w:pPr>
      <w:r>
        <w:rPr>
          <w:b/>
          <w:bCs/>
        </w:rPr>
        <w:t xml:space="preserve">Paramètres : </w:t>
      </w:r>
      <w:r>
        <w:t xml:space="preserve">Instrument US100 ; signal 90 min ; stop = 3×ATR(14) ; sortie 16:00 ET (clôture) ou stop ; plat overnight.</w:t>
      </w:r>
    </w:p>
    <w:p>
      <w:pPr>
        <w:spacing w:after="120" w:line="276"/>
      </w:pPr>
      <w:r>
        <w:rPr>
          <w:b/>
          <w:bCs/>
        </w:rPr>
        <w:t xml:space="preserve">Fréquence : </w:t>
      </w:r>
      <w:r>
        <w:t xml:space="preserve">~0,9 trade / jour (≤ 1), 1 228 trades.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80"/>
        <w:gridCol w:w="2700"/>
        <w:gridCol w:w="198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Sharpe (ann.)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% trades gagnants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Sortino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1.16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Calmar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Espérance / trade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+0.119 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Skew (quotidien)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+2.88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Trades / jour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0.88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/ an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5.9%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DD max (close)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total (5,4 a)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31.9%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Pire DD journ. flottant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0.3%</w:t>
            </w:r>
          </w:p>
        </w:tc>
      </w:tr>
    </w:tbl>
    <w:p>
      <w:pPr>
        <w:spacing w:after="160" w:before="60"/>
      </w:pPr>
      <w:r>
        <w:rPr>
          <w:b/>
          <w:bCs/>
          <w:i/>
          <w:iCs/>
        </w:rPr>
        <w:t xml:space="preserve">Robustesse : </w:t>
      </w:r>
      <w:r>
        <w:rPr>
          <w:i/>
          <w:iCs/>
        </w:rPr>
        <w:t xml:space="preserve">Edge stable sur un plateau de paramètres (Sharpe 0,5–0,8 pour signal 60–120 min), spécifique au Nasdaq (les autres indices ~0). Skew fortement positif (+2,9) : pas de queue gauche. Survit à 3× les coûts.</w:t>
      </w:r>
    </w:p>
    <w:p>
      <w:pPr>
        <w:pStyle w:val="Heading2"/>
      </w:pPr>
      <w:r>
        <w:t xml:space="preserve">S2 — Reversion cross-sectionnelle</w:t>
      </w:r>
    </w:p>
    <w:p>
      <w:pPr>
        <w:spacing w:after="120" w:line="276"/>
      </w:pPr>
      <w:r>
        <w:rPr>
          <w:b/>
          <w:bCs/>
        </w:rPr>
        <w:t xml:space="preserve">Logique : </w:t>
      </w:r>
      <w:r>
        <w:t xml:space="preserve">À 10:30 ET, on mesure le rendement relatif de chaque indice depuis 09:30. Après centrage transversal, on pondère w = −z (dollar‑neutre, Σ|w| = 1) : long les retardataires, short les leaders. La sur‑réaction relative de l’ouverture se réverse en séance ; position tenue jusqu’à 16:00 ET.</w:t>
      </w:r>
    </w:p>
    <w:p>
      <w:pPr>
        <w:spacing w:after="120" w:line="276"/>
      </w:pPr>
      <w:r>
        <w:rPr>
          <w:b/>
          <w:bCs/>
        </w:rPr>
        <w:t xml:space="preserve">Paramètres : </w:t>
      </w:r>
      <w:r>
        <w:t xml:space="preserve">Univers US500/US100/US30/US2000 ; signal 09:30→10:30 ; détention →16:00 ; market‑neutral, levier ~0,76.</w:t>
      </w:r>
    </w:p>
    <w:p>
      <w:pPr>
        <w:spacing w:after="120" w:line="276"/>
      </w:pPr>
      <w:r>
        <w:rPr>
          <w:b/>
          <w:bCs/>
        </w:rPr>
        <w:t xml:space="preserve">Fréquence : </w:t>
      </w:r>
      <w:r>
        <w:t xml:space="preserve">Rebalance quotidien, 4 jambes / jour.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80"/>
        <w:gridCol w:w="2700"/>
        <w:gridCol w:w="198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Sharpe (ann.)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% trades gagnants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51.7%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Sortino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 (neutre)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Calmar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Espérance / trade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Skew (quotidien)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Trades / jour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4.00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/ an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1.7%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DD max (close)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7.5%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total (5,4 a)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9.0%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Pire DD journ. flottant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3.8%</w:t>
            </w:r>
          </w:p>
        </w:tc>
      </w:tr>
    </w:tbl>
    <w:p>
      <w:pPr>
        <w:spacing w:after="160" w:before="60"/>
      </w:pPr>
      <w:r>
        <w:rPr>
          <w:b/>
          <w:bCs/>
          <w:i/>
          <w:iCs/>
        </w:rPr>
        <w:t xml:space="preserve">Robustesse : </w:t>
      </w:r>
      <w:r>
        <w:rPr>
          <w:i/>
          <w:iCs/>
        </w:rPr>
        <w:t xml:space="preserve">Market‑neutral (β actions ≈ 0) → décorrélé de S1/S3, d’où sa valeur en portefeuille. Mais edge mince : devient négatif dès 2× les coûts (turnover quotidien élevé). À déployer seulement combiné.</w:t>
      </w:r>
    </w:p>
    <w:p>
      <w:pPr>
        <w:pStyle w:val="Heading2"/>
      </w:pPr>
      <w:r>
        <w:t xml:space="preserve">S3 — Dérive actions d’après-midi</w:t>
      </w:r>
    </w:p>
    <w:p>
      <w:pPr>
        <w:spacing w:after="120" w:line="276"/>
      </w:pPr>
      <w:r>
        <w:rPr>
          <w:b/>
          <w:bCs/>
        </w:rPr>
        <w:t xml:space="preserve">Logique : </w:t>
      </w:r>
      <w:r>
        <w:t xml:space="preserve">À 12:30 ET, entrée LONG sur chacun des trois indices (risque réparti), tenue jusqu’à la clôture 16:00 ET. On capture la dérive positive de la séance d’après‑midi des indices actions (flux de fin de séance / prime de risque intraday).</w:t>
      </w:r>
    </w:p>
    <w:p>
      <w:pPr>
        <w:spacing w:after="120" w:line="276"/>
      </w:pPr>
      <w:r>
        <w:rPr>
          <w:b/>
          <w:bCs/>
        </w:rPr>
        <w:t xml:space="preserve">Paramètres : </w:t>
      </w:r>
      <w:r>
        <w:t xml:space="preserve">Ensemble US500/US100/US30 à risque égal ; fenêtre 12:30→16:00 ET ; stop 2×ATR(14) ; plat overnight.</w:t>
      </w:r>
    </w:p>
    <w:p>
      <w:pPr>
        <w:spacing w:after="120" w:line="276"/>
      </w:pPr>
      <w:r>
        <w:rPr>
          <w:b/>
          <w:bCs/>
        </w:rPr>
        <w:t xml:space="preserve">Fréquence : </w:t>
      </w:r>
      <w:r>
        <w:t xml:space="preserve">~3 trades / jour (ensemble de 3 indices).</w:t>
      </w:r>
    </w:p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80"/>
        <w:gridCol w:w="2700"/>
        <w:gridCol w:w="198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Sharpe (ann.)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% trades gagnants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36.2%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Sortino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Calmar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Espérance / trade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+0.035 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Skew (quotidien)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+2.00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Trades / jour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2.97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/ an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DD max (close)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Rendement total (5,4 a)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8.0%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Pire DD journ. flottant</w:t>
            </w:r>
          </w:p>
        </w:tc>
        <w:tc>
          <w:tcPr>
            <w:tcW w:type="dxa" w:w="1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0.2%</w:t>
            </w:r>
          </w:p>
        </w:tc>
      </w:tr>
    </w:tbl>
    <w:p>
      <w:pPr>
        <w:spacing w:after="160" w:before="60"/>
      </w:pPr>
      <w:r>
        <w:rPr>
          <w:b/>
          <w:bCs/>
          <w:i/>
          <w:iCs/>
        </w:rPr>
        <w:t xml:space="preserve">Robustesse : </w:t>
      </w:r>
      <w:r>
        <w:rPr>
          <w:i/>
          <w:iCs/>
        </w:rPr>
        <w:t xml:space="preserve">Directionnelle long → dépend du régime actions (négative en 2022). Skew positif (+2,0). Tient jusqu’à ~2× les coûts. Diversifie temporellement S1 (matin) et S2 (neutre).</w:t>
      </w:r>
    </w:p>
    <w:p>
      <w:r>
        <w:br w:type="page"/>
      </w:r>
    </w:p>
    <w:p>
      <w:pPr>
        <w:pStyle w:val="Heading1"/>
      </w:pPr>
      <w:r>
        <w:t xml:space="preserve">7. Portefeuille combiné</w:t>
      </w:r>
    </w:p>
    <w:p>
      <w:pPr>
        <w:spacing w:after="120" w:line="276"/>
      </w:pPr>
      <w:r>
        <w:t xml:space="preserve">Les trois moteurs étant quasi indépendants, leur combinaison à parts de risque égales lisse fortement la courbe : le Sharpe passe de 0,73 (meilleure brique) à </w:t>
      </w:r>
      <w:r>
        <w:rPr>
          <w:b/>
          <w:bCs/>
        </w:rPr>
        <w:t xml:space="preserve">0,99</w:t>
      </w:r>
      <w:r>
        <w:t xml:space="preserve">, le Calmar à 0,97. C’est le bénéfice de diversification recherché pour un challenge à DD serré.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533650"/>
            <wp:effectExtent t="0" r="0" b="0" l="0"/>
            <wp:docPr id="1" name="Figure 1 — Corrélations des rendements quotidiens : |ρ| ≤ 0,18 (quasi orthogonales)." descr="Figure 1 — Corrélations des rendements quotidiens : |ρ| ≤ 0,18 (quasi orthogonales)." title="Figure 1 — Corrélations des rendements quotidiens : |ρ| ≤ 0,18 (quasi orthogonal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1 — Corrélations des rendements quotidiens : |ρ| ≤ 0,18 (quasi orthogonales).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886075"/>
            <wp:effectExtent t="0" r="0" b="0" l="0"/>
            <wp:docPr id="1" name="Figure 2 — Courbes d’equity au sizing FTMO‑safe (base 100). Le combiné (noir) domine en régularité." descr="Figure 2 — Courbes d’equity au sizing FTMO‑safe (base 100). Le combiné (noir) domine en régularité." title="Figure 2 — Courbes d’equity au sizing FTMO‑safe (base 100). Le combiné (noir) domine en régularit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2 — Courbes d’equity au sizing FTMO‑safe (base 100). Le combiné (noir) domine en régularité.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Figure 3 — Drawdown du combiné : plancher à −7,5 %, toujours au‑dessus des lignes FTMO −5 %/−10 %." descr="Figure 3 — Drawdown du combiné : plancher à −7,5 %, toujours au‑dessus des lignes FTMO −5 %/−10 %." title="Figure 3 — Drawdown du combiné : plancher à −7,5 %, toujours au‑dessus des lignes FTMO −5 %/−10 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3 — Drawdown du combiné : plancher à −7,5 %, toujours au‑dessus des lignes FTMO −5 %/−10 %.</w:t>
      </w:r>
    </w:p>
    <w:p>
      <w:pPr>
        <w:pStyle w:val="Heading1"/>
      </w:pPr>
      <w:r>
        <w:t xml:space="preserve">8. Conformité FTMO &amp; probabilité de passage</w:t>
      </w:r>
    </w:p>
    <w:p>
      <w:pPr>
        <w:spacing w:after="120" w:line="276"/>
      </w:pPr>
      <w:r>
        <w:t xml:space="preserve">Évaluation par dates de départ glissantes (chaque jour de l’historique = un challenge), sur le calendrier réel :</w:t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50"/>
        <w:gridCol w:w="1100"/>
        <w:gridCol w:w="2050"/>
        <w:gridCol w:w="136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Stratégie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 1 (+10 %) &lt; 6 mois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&lt; 1 an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 2 (+5 %) &lt; 6 mois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Taux de breach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Médiane → +10 %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45.9%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44.3%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159 j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2.3%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3.6%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6.8%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27.6%</w:t>
            </w:r>
          </w:p>
        </w:tc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47.4%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186 j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Lecture : </w:t>
      </w:r>
      <w:r>
        <w:t xml:space="preserve">aucun breach historique (0 %) sur l’ensemble des départs — le sizing conservateur n’a jamais violé les limites 5 %/10 %, y compris en 2022. La contrainte est le délai : S1 est le plus rapide vers +10 % (46 % sous 1 an, médiane 159 j), tandis que le combiné excelle pour l’étape 2 (+5 % : 47 % sous 6 mois) et la stabilité.</w:t>
      </w:r>
    </w:p>
    <w:p>
      <w:pPr>
        <w:spacing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240"/>
        <w:gridCol w:w="1700"/>
        <w:gridCol w:w="1100"/>
        <w:gridCol w:w="1080"/>
        <w:gridCol w:w="1080"/>
      </w:tblGrid>
      <w:tr>
        <w:trPr>
          <w:tblHeader/>
        </w:trP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Bootstrap bloc (4000 runs, 1 an)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P(breach)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P(atteint +10 %)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P&amp;L 1 an p5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médian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p95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— Momentum US100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3.9%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40.0%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-7.3%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5.5%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18.4%</w:t>
            </w:r>
          </w:p>
        </w:tc>
      </w:tr>
      <w:tr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Combiné</w:t>
            </w:r>
          </w:p>
        </w:tc>
        <w:tc>
          <w:tcPr>
            <w:tcW w:type="dxa" w:w="1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2.5%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45.4%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-4.9%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7.1%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18.5%</w:t>
            </w:r>
          </w:p>
        </w:tc>
      </w:tr>
    </w:tbl>
    <w:p>
      <w:pPr>
        <w:spacing w:after="120" w:line="276"/>
      </w:pPr>
      <w:r>
        <w:t xml:space="preserve">Le bootstrap (séquences ré‑échantillonnées par blocs de 10 jours) donne une estimation de queue plus prudente : P(breach sur 1 an) = 2,5 % pour le combiné contre 3,9 % pour S1 seul, et un percentile 5 % bien moins sévère (−4,9 % vs −7,3 %). </w:t>
      </w:r>
      <w:r>
        <w:rPr>
          <w:b/>
          <w:bCs/>
        </w:rPr>
        <w:t xml:space="preserve">La diversification réduit le risque de ruine.</w:t>
      </w:r>
    </w:p>
    <w:p>
      <w:r>
        <w:br w:type="page"/>
      </w:r>
    </w:p>
    <w:p>
      <w:pPr>
        <w:pStyle w:val="Heading1"/>
      </w:pPr>
      <w:r>
        <w:t xml:space="preserve">9. Stress tests</w:t>
      </w:r>
    </w:p>
    <w:p>
      <w:pPr>
        <w:pStyle w:val="Heading2"/>
      </w:pPr>
      <w:r>
        <w:t xml:space="preserve">9.1 Robustesse par régime de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S1 (Sh / Rdt / DD)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Combiné</w:t>
            </w:r>
          </w:p>
        </w:tc>
      </w:tr>
      <w:tr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0.07 / 0.4% / 6.4%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2.35 / 9.5% / 2.1%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2.01 / 5.7% / 1.4%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2.14 / 12.4% / 4.4%</w:t>
            </w:r>
          </w:p>
        </w:tc>
      </w:tr>
      <w:tr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2022 (bear)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-0.24 / -1.9% / 7.8%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-0.06 / -0.2% / 4.3%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-0.12 / -0.5% / 3.0%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-0.30 / -2.1% / 6.8%</w:t>
            </w:r>
          </w:p>
        </w:tc>
      </w:tr>
      <w:tr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0.93 / 8.2% / 4.6%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-0.15 / -0.6% / 2.3%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0.59 / 2.3% / 3.7%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1.02 / 8.0% / 6.3%</w:t>
            </w:r>
          </w:p>
        </w:tc>
      </w:tr>
      <w:tr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2024–26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1.20 / 10.6% / 7.6%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0.04 / 0.2% / 4.8%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0.06 / 0.2% / 5.7%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1.11 / 8.8% / 7.5%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Figure 4 — P&amp;L annuel par stratégie. Complémentarité nette : S2/S3 portent 2021, S1 porte 2023–2026." descr="Figure 4 — P&amp;L annuel par stratégie. Complémentarité nette : S2/S3 portent 2021, S1 porte 2023–2026." title="Figure 4 — P&amp;L annuel par stratégie. Complémentarité nette : S2/S3 portent 2021, S1 porte 2023–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Figure 4 — P&amp;L annuel par stratégie. Complémentarité nette : S2/S3 portent 2021, S1 porte 2023–2026.</w:t>
      </w:r>
    </w:p>
    <w:p>
      <w:pPr>
        <w:spacing w:after="120" w:line="276"/>
      </w:pPr>
      <w:r>
        <w:t xml:space="preserve">Le combiné est positif chaque année sauf 2022 (−2,1 %, DD 6,8 % — sous la limite). La complémentarité des régimes est le cœur de la robustesse : aucune brique ne domine partout.</w:t>
      </w:r>
    </w:p>
    <w:p>
      <w:pPr>
        <w:pStyle w:val="Heading2"/>
      </w:pPr>
      <w:r>
        <w:t xml:space="preserve">9.2 Sensibilité aux coûts (×1 / ×2 / ×3 du spread)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11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Stratégie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Sharpe ×1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Sharpe ×2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Sharpe ×3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Rdt/an ×3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 — Momentum US100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1.5%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Robuste (positif à 3×)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 — Dérive PM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Casse vers 2×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 — Reversion X‑sect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-0.8%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Négatif dès 2×</w:t>
            </w:r>
          </w:p>
        </w:tc>
      </w:tr>
    </w:tbl>
    <w:p>
      <w:pPr>
        <w:pStyle w:val="Heading2"/>
      </w:pPr>
      <w:r>
        <w:t xml:space="preserve">9.3 Dégradation de l’edge (combiné)</w:t>
      </w:r>
    </w:p>
    <w:p>
      <w:pPr>
        <w:spacing w:after="120" w:line="276"/>
      </w:pPr>
      <w:r>
        <w:t xml:space="preserve">Si l’edge live ne vaut qu’une fraction du backtest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Edge conservé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P(passage +10 % &lt; 1 an)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Taux de breach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27.6%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Asymétrie rassurante : </w:t>
      </w:r>
      <w:r>
        <w:t xml:space="preserve">une dégradation d’edge ralentit l’atteinte de la cible (8 % de passage à 75 % d’edge, 0 % à 50 %) mais </w:t>
      </w:r>
      <w:r>
        <w:rPr>
          <w:b/>
          <w:bCs/>
        </w:rPr>
        <w:t xml:space="preserve">ne provoque jamais de breach</w:t>
      </w:r>
      <w:r>
        <w:t xml:space="preserve"> — on échoue par lenteur, pas par ruine.</w:t>
      </w:r>
    </w:p>
    <w:p>
      <w:pPr>
        <w:pStyle w:val="Heading1"/>
      </w:pPr>
      <w:r>
        <w:t xml:space="preserve">10. Limites &amp; recommandations de déploiement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Échantillon : </w:t>
      </w:r>
      <w:r>
        <w:t xml:space="preserve">intraday indices US fiable depuis 2021 (~5,4 ans) — robuste mais pas multi‑cycle ; à re‑valider en walk‑forward continu.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Concentration : </w:t>
      </w:r>
      <w:r>
        <w:t xml:space="preserve">les edges vivent sur indices actions (surtout Nasdaq). Le FX/or/crypto intraday n’a pas survécu aux frais dans ces données.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S2 fragile aux coûts : </w:t>
      </w:r>
      <w:r>
        <w:t xml:space="preserve">à n’utiliser que dans le combiné, ou à améliorer (réduction de turnover, seuil d’entrée).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Vitesse : </w:t>
      </w:r>
      <w:r>
        <w:t xml:space="preserve">viser +10 % prend ~6–9 mois au sizing prudent ; accélérer = augmenter le levier, donc le risque de breach (voir balayage de sizing).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Live : </w:t>
      </w:r>
      <w:r>
        <w:t xml:space="preserve">prévoir slippage sur ouvertures volatiles, DST (sessions en heure locale de place), et un kill‑switch quotidien à ~4 %.</w:t>
      </w:r>
    </w:p>
    <w:p>
      <w:pPr>
        <w:spacing w:after="120" w:line="276"/>
      </w:pPr>
      <w:r>
        <w:rPr>
          <w:b/>
          <w:bCs/>
        </w:rPr>
        <w:t xml:space="preserve">Déploiement recommandé : </w:t>
      </w:r>
      <w:r>
        <w:t xml:space="preserve">exécuter le combiné (S1+S2+S3) au sizing FTMO‑safe pour la stabilité ; sur l’étape 1 (+10 %), surpondérer S1 (le plus rapide et le plus robuste aux coûts) ; sur l’étape 2 (+5 %) et le compte financé, privilégier le combiné pour minimiser le risque de breach.</w:t>
      </w:r>
    </w:p>
    <w:p>
      <w:r>
        <w:br w:type="page"/>
      </w:r>
    </w:p>
    <w:p>
      <w:pPr>
        <w:pStyle w:val="Heading1"/>
      </w:pPr>
      <w:r>
        <w:t xml:space="preserve">Annexe — Les 105 candidats (triés par Sharpe)</w:t>
      </w:r>
    </w:p>
    <w:p>
      <w:pPr>
        <w:spacing w:after="120" w:line="276"/>
      </w:pPr>
      <w:r>
        <w:t xml:space="preserve">Backtest M15 avec coûts réels, sizing FTMO‑safe. Sharpe et profit factor du screening initial (avant affinage M5).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500"/>
        <w:gridCol w:w="1430"/>
        <w:gridCol w:w="143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Candidat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Famille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Sharpe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PF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Rdt/an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1.36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1.30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-0.21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-0.28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-0.38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-0.47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-0.68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-0.76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DRIFT_US2000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time_drift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-1.27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-0.8%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ATRch_US30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-1.47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ORB60_US2000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VWAP25_USDJPY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vwap_revert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PB_US2000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mom_pullback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-1.80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-1.81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-1.84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ORB30atr_XAUUSD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-2.06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ORBtrend_US2000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-2.16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ORB30atr_US100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-2.30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ATRch_USDJPY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-2.37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-2.41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gap_fade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-2.41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-2.44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ORB30atr_US500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-2.53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-1.6%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-2.56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ASIA_AUDUSD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-2.74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ATRch_GBPUSD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-2.91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DON20_EURUSD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donchian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-2.94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REVz_AUDUSD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reversal_z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-2.99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ASIA_USDCHF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-3.42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-2.3%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-3.47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-1.5%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-3.49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ASIA_NZDUSD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-3.55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-2.2%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-3.58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ATRch_EURUSD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-3.78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0.62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-0.9%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FADE_GER40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session_fade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-4.03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0.58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-1.7%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ORB30atr_US2000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session_breakout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-4.07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ATRch_US2000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-4.09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0.60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ATRch_AUDUSD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atr_channel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-4.13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0.59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ASIA_USDCAD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-4.36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0.57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-1.1%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ASIA_EURGBP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asian_break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-6.30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0.44</w:t>
            </w:r>
          </w:p>
        </w:tc>
        <w:tc>
          <w:tcPr>
            <w:tcW w:type="dxa" w:w="1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-2.3%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Note de recherche quantitative — FTMO 2‑step  ·  </w:t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64cba6e35d9f6574bc1ca8a6bd07858725231d.png"/><Relationship Id="rId9" Type="http://schemas.openxmlformats.org/officeDocument/2006/relationships/image" Target="media/b39db3e0a498daa63a54ce37b29a23bb22ab3b1e.png"/><Relationship Id="rId10" Type="http://schemas.openxmlformats.org/officeDocument/2006/relationships/image" Target="media/da1adbeaa4f427d37f4d2e9331e5837b0edb7596.png"/><Relationship Id="rId11" Type="http://schemas.openxmlformats.org/officeDocument/2006/relationships/image" Target="media/c16f6600c62b8ab84b23ee99999705b1a5aeb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Stratégies FTMO 2-step</dc:title>
  <dc:creator>Prodige</dc:creator>
  <cp:lastModifiedBy>Un-named</cp:lastModifiedBy>
  <cp:revision>1</cp:revision>
  <dcterms:created xsi:type="dcterms:W3CDTF">2026-06-04T11:11:18.178Z</dcterms:created>
  <dcterms:modified xsi:type="dcterms:W3CDTF">2026-06-04T11:11:18.178Z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