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4"/>
          <w:szCs w:val="44"/>
        </w:rPr>
        <w:t xml:space="preserve">PROGRAMME FTMO — RAPPORT INSTITUTIONNEL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« Sprint pour passer, prudence pour durer »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 2.0 — RÉVISION PRÉ-LANCEMENT — specs gelées, chiffres recalculés post-revue MD, checklist GO/NO-GO</w:t>
      </w:r>
    </w:p>
    <w:p>
      <w:pPr>
        <w:spacing w:before="2000"/>
        <w:jc w:val="center"/>
      </w:pPr>
      <w:r>
        <w:rPr>
          <w:sz w:val="20"/>
          <w:szCs w:val="20"/>
        </w:rPr>
        <w:t xml:space="preserve">10 juin 2026 — Quantitative Strategy Group</w:t>
      </w:r>
    </w:p>
    <w:p>
      <w:pPr>
        <w:jc w:val="center"/>
      </w:pPr>
      <w:r>
        <w:rPr>
          <w:color w:val="888888"/>
          <w:sz w:val="18"/>
          <w:szCs w:val="18"/>
        </w:rPr>
        <w:t xml:space="preserve">Diffusion équipe. Backtest + validation broker démo — 0 jour live. Test overnight empirique en cours.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20"/>
      </w:pPr>
      <w:r>
        <w:rPr>
          <w:sz w:val="21"/>
          <w:szCs w:val="21"/>
        </w:rPr>
        <w:t xml:space="preserve">Deux portefeuilles systématiques sur l'univers FTMO ($10k, 2-Step, Swing) : CHALLENGE (machine de variance séquencée, maximise l'EV du passage sous horloge 3 mois) et FUNDED (même book de signaux, réglage rente, maximise l'extraction sous contrainte de longévité). Cette v2.0 intègre la revue MD sur compte démo réel : swaps mesurés au terminal (modèle confirmé à 1-10% près sur chaque jambe), marge réelle indices/or 1:50 (cap de marge 60% ajouté à la spec), et chiffres contractuels recalculés sur le stack corrigé.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Métrique clé (corrigée post-revue)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 2013-19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OOS 2020-26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p(funded ≤ 3 mois, retries)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87.1%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79.9%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gelé sur IS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Pooled (n=462)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83.5% — IC95 [76.2 ; 88.5]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P(p&gt;50%) = 1.00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7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 par campagne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+$953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+$825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 chaînée ≈ +$800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Temps médian de funding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~32 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~34 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essai possible en 13 j (replay avril)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Extraction Funded 2 ans (brut)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$824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$2,592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bust 1-2%, 10.8 payouts OOS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Robustesse : </w:t>
      </w:r>
      <w:r>
        <w:rPr>
          <w:sz w:val="21"/>
          <w:szCs w:val="21"/>
        </w:rPr>
        <w:t xml:space="preserve">triangulation moteur/renouvellement 1.8 pt d'écart ; bootstrap 78 histoires synthétiques : P(p&gt;50%) = 100%, pire 62.9% ; stress swap ×1.5 → 86.4%, spread ×2 → 77.2% ; antifragile au slippage breaker (p monte, coût −$30-60 EV) ; placebo : container ~71 pts + edge réel +12 pts ; aucun look-ahead (anticausal négatif).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Replay grandeur nature (anecdote, pas statistique) : </w:t>
      </w:r>
      <w:r>
        <w:rPr>
          <w:sz w:val="21"/>
          <w:szCs w:val="21"/>
        </w:rPr>
        <w:t xml:space="preserve">lancé le 10 avril 2026, le funnel aurait été FUNDED le 23 avril — 1 essai, 13 jours. Le compte funded serait à −0.85% au 5 juin (mai = régime ORB défavorable, prévu par le nowcast d'archive), jamais en danger (min $9,829 vs floor $9,000).</w:t>
      </w:r>
    </w:p>
    <w:p>
      <w:r>
        <w:br w:type="page"/>
      </w:r>
    </w:p>
    <w:p>
      <w:pPr>
        <w:pStyle w:val="Heading1"/>
      </w:pPr>
      <w:r>
        <w:t xml:space="preserve">2. Les deux portefeuilles (spécifications gelées v2)</w:t>
      </w:r>
    </w:p>
    <w:p>
      <w:pPr>
        <w:pStyle w:val="Heading2"/>
      </w:pPr>
      <w:r>
        <w:t xml:space="preserve">2.1 Sleeves communs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630"/>
        <w:gridCol w:w="163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Sleeve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Spécification (gelée, archive-validée)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SR net full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SR net 2019+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 trend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TSMOM blend sign{60,120,250} carry-adj, θ=0.34, vol-target 10%, XAUUSD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USDJPY TSMOM 12-1 long-only, vol-target 10%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0.43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Overnight midweek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US100+GER40, nuits lun &amp; mar (17:35/22:05 → 09:00/15:30 CET), net swap+spread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0.46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ORB V2+E7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ORB 30min US100, ledger NQ 4013 trades, coût d'époque (auction mesurée/année)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1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2.2 CHALLENGE (mur 3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 gelée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multiplier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14× (cap 1.5×/jambe pré-vm ; budgets or 0.5 / jpy 0.5 / overnight 0.6/jambe / ORB 0.25% tapéré)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1.2× le risque P1 (barrières +5/−10)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Breaker / taper / pacing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flatten M5 si room &lt; 30% du budget daily ; taper floor 2% ; pacing ×[0.8;2.0] ; glide 0.5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Abandon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equity &lt; floor+2% pendant 5 j → relancer (l'horloge continue)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 de marge (NOUVEAU v2)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Σ marge ≤ 60% equity (taux MESURÉS : indices/or 2% = 1:50, FX 1%) — scaling proportionnel. Sans cap : marge p99 = 93% = zone margin-call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Exécution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rebalance 22:05 CET ; quantization lots 0.01 ; weekend tenu ; P&amp;L NON réalisé quotidiennement (buffer flottant)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2.3 FUNDED (rente)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 gelée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multiplier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1.0× ; breaker 30%, taper 2% ; pace/glide/abandon OFF ; cap marge 60%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Retraits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bi-mensuels (balance − $10k si positif) ; split 80% ; 1er payout rembourse la fee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Compte &amp; switch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Swing à l'achat (irréversible) ; switch vm 14 → 1.0 IMMÉDIAT au funding (book sprint gardé funded : méd. $0, 59% bust, 27 j — mesuré)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Métriques de validation (stack corrigé)</w:t>
      </w:r>
    </w:p>
    <w:p>
      <w:pPr>
        <w:pStyle w:val="Heading2"/>
      </w:pPr>
      <w:r>
        <w:t xml:space="preserve">3.1 Challenge — funnel 91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20"/>
        <w:gridCol w:w="2020"/>
        <w:gridCol w:w="2020"/>
      </w:tblGrid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OOS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p(funded), retries+abandon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87.1%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79.9%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essais 3.26 / 3.50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 campagne (fee $96, valeur funded $1,342)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+$953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+$825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SEUL essai (61j)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28.2% max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plafond structurel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 funded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mur 270 j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3.91 essais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Stress swap ×1.5 / spread ×2 (pooled)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86.4% / 77.2%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+$940 / +$751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Slippage breaker k=1.0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85.2%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+$767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antifragile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3.2 Funded — extraction 2 ans (tronquée, conservateur)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20"/>
        <w:gridCol w:w="2020"/>
        <w:gridCol w:w="2020"/>
      </w:tblGrid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OOS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E[extraction brute]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$824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$2,592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méd. OOS $2,145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Bust / payouts / vie médiane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1% / 10.8 / horizon plein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3.3 Suite d'inférence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30"/>
        <w:gridCol w:w="3030"/>
      </w:tblGrid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Lecture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Triangulation (renouvellement indépendant)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79.0% vs 80.8%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 de bug moteur ; essais quasi indépendants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Bootstrap chemins (78 histoires, blocs 13 sem.)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p5 74.3%, min 62.9%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P(p&gt;50%) = 100%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Placebo sign-flip / delay / anticausal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71.4% vs 83.3% / −1.3 pt / pas d'amélioration</w:t>
            </w:r>
          </w:p>
        </w:tc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 réel +12 pts ; zéro look-ahead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Revue MD &amp; validation broker (NOUVEAU v2)</w:t>
      </w:r>
    </w:p>
    <w:p>
      <w:pPr>
        <w:pStyle w:val="Heading2"/>
      </w:pPr>
      <w:r>
        <w:t xml:space="preserve">4.1 La question des unités de swap — tranchée</w:t>
      </w:r>
    </w:p>
    <w:p>
      <w:pPr>
        <w:spacing w:after="120"/>
      </w:pPr>
      <w:r>
        <w:rPr>
          <w:sz w:val="21"/>
          <w:szCs w:val="21"/>
        </w:rPr>
        <w:t xml:space="preserve">La revue MD signalait des swaps longs apparents de −385%/an (GER40) à −800%/an (US100). Résolution par les captures MT5 du compte démo : « Type de swap : En points », Chiffres = 2 → 1 point = 0.01 unité de cotation. Les pourcentages étaient la colonne points lue comme du %/an. Le modèle est confirmé par la mesure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800"/>
        <w:gridCol w:w="18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Jambe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MT5 mesuré (pts)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Converti (bps/nuit)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Modèle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Écart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US100 long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−644.06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−2.21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+1.4%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GER40 long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−394.85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−1.61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−1.78 (estimé)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−10% → mesuré intégré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GER40 short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−48.8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−0.20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+0.10 (estimé)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 corrigé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XAUUSD long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−89.26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−2.06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−2.03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+1.5%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USDJPY long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+2.95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+0.18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+0.18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Triple-days confirmés (vendredi indices, mercredi métaux/FX). Annualisés : US100 −8.2%/an, GER40 −5.9%, XAU −7.5% — le swap est bien LE coût dominant du sleeve overnight (≈40% du gross), et il était déjà chargé.</w:t>
      </w:r>
    </w:p>
    <w:p>
      <w:pPr>
        <w:pStyle w:val="Heading2"/>
      </w:pPr>
      <w:r>
        <w:t xml:space="preserve">4.2 Découverte matérielle : marge indices/or = 2% (1:50)</w:t>
      </w:r>
    </w:p>
    <w:p>
      <w:pPr>
        <w:spacing w:after="120"/>
      </w:pPr>
      <w:r>
        <w:rPr>
          <w:sz w:val="21"/>
          <w:szCs w:val="21"/>
        </w:rPr>
        <w:t xml:space="preserve">Les captures révèlent un taux de marge 2.0 sur US100/GER40 (et non 1% supposé). Au pic du sprint vm14, la marge requise atteignait p99 = 93% de l'equity — zone de margin-call après une mauvaise journée. Correctif : cap de marge dur à 60% de l'equity (scaling proportionnel des cibles). Impact mesuré : p 80.8 → 81.1%, EV +$838 — une contrainte de faisabilité gratuite, désormais dans la spec gelée.</w:t>
      </w:r>
    </w:p>
    <w:p>
      <w:pPr>
        <w:pStyle w:val="Heading2"/>
      </w:pPr>
      <w:r>
        <w:t xml:space="preserve">4.3 Test empirique overnight (EN COURS — dernier verrou)</w:t>
      </w:r>
    </w:p>
    <w:p>
      <w:pPr>
        <w:spacing w:after="120"/>
      </w:pPr>
      <w:r>
        <w:rPr>
          <w:sz w:val="21"/>
          <w:szCs w:val="21"/>
        </w:rPr>
        <w:t xml:space="preserve">Positions tenues cette nuit sur le compte démo par le MD. Prédictions falsifiables du modèle (nuit 1×)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Swap prédit (modèle)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lecture %/an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 si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0.10 lot US100.cash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−$0.64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−$50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facteur 80 d'écart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0.10 lot GER40.cash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−€0.39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−$26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illisible de se tromper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0.01 lot XAUUSD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−$0.89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−$10.7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0.01 lot USDJPY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+$0.02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Nuit 2 recommandée : mercredi (XAU ×3 → −$2.68 attendu, indices ×1) ou vendredi (indices ×3 → US100 −$1.93) pour valider le calendrier des triple-days.</w:t>
      </w:r>
    </w:p>
    <w:p>
      <w:pPr>
        <w:pStyle w:val="Heading2"/>
      </w:pPr>
      <w:r>
        <w:t xml:space="preserve">4.4 Replay grandeur nature : avril → juin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Challenge lancé 10 avril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 passée en 4 j de trading (pic $11,162) ; P2 en 4 j ($10,554)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FUNDED 23 avril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essai, 13 jours calendaires, $96 de fee (~25% de proba de premier-coup : tirage favorable, pas exceptionnel)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Funded 28 avr → 5 juin (vm 1.0)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equity $9,915 (−0.85%), min $9,829 (9.2% au-dessus du floor), 0 danger. Attribution : or 0% (zone morte), J1 +0.24%, overnight +0.41%, ORB −1.47% (mai = régime défavorable ORB, prévu par le nowcast d'archive)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Lecture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 funnel fait ce que la simulation promet (vite quand le tirage est bon) ; la rente fait ce qu'elle promet (survivre aux mois plats). Un chemin = une anecdote ; les 462 cohortes restent la preuve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Données, coûts, architecture</w:t>
      </w:r>
    </w:p>
    <w:p>
      <w:pPr>
        <w:pStyle w:val="Heading2"/>
      </w:pPr>
      <w:r>
        <w:t xml:space="preserve">5.1 Sources &amp; réparations (audit F1)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M1 true-UTC ×28 instruments (Dukascopy+MT5, 2007-2026, spreads calibrés) ; NQ databento 2010-2026 ; panels daily 2000+ ; rates 3m ×10 devises ; specs broker + captures MT5 2026-06.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Réparations : US100 2018-2020 (1 bar/jour → breaker aveugle, +9.2 pts IS fictifs) comblé par proxy NQ ; GER40 mi-2019→2021 masqué ; realized_vol min_periods (les NaN de calendrier zérotaient les poids 60 j post-férié).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Stack unique : audit_stack.load_audited() — swaps ré-ancrés sur les valeurs MESURÉES (4.1). Toute analyse hors de ce loader est non conforme.</w:t>
      </w:r>
    </w:p>
    <w:p>
      <w:pPr>
        <w:pStyle w:val="Heading2"/>
      </w:pPr>
      <w:r>
        <w:t xml:space="preserve">5.2 Coûts (L33)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RT all-in mesuré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Swap (calibré + mesuré, variable via taux 3m)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FX majors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1.1-3.1 bps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markups 1.4-3.5%/an ; USDJPY long = crédit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 bps (auction 0.5 bps actuel ; 4.3 en 2013 → ORB era-costed)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US100 −2.24 bps/nuit MESURÉ ; GER40 −1.61 MESURÉ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XAU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1.8 bps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−2.06 bps/nuit MESURÉ ; mercredi ×3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Crypto / softs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 / 144-1190 bps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−30%/an / exclus</w:t>
            </w:r>
          </w:p>
        </w:tc>
      </w:tr>
    </w:tbl>
    <w:p>
      <w:pPr>
        <w:pStyle w:val="Heading2"/>
      </w:pPr>
      <w:r>
        <w:t xml:space="preserve">5.3 Simulateur (fidélité règles officielles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 limit : equity ≥ balance@00:00 CE(S)T − 5% initial, vérifié M5 ; floor statique $9k ; cibles balance positions closes ; min 4 jours d'ouverture ; gap inter-phases 3 j ouvrés, retry 2 j ; évaluation sans restriction news/weekend (officiel).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Comptabilité : avg-price, P&amp;L réalisé sur réductions, swaps minuit (3× mer/ven selon classe), quantization lots, cap marge 60%, breaker avec stress de slippage ±k×range.</w:t>
      </w:r>
    </w:p>
    <w:p>
      <w:r>
        <w:br w:type="page"/>
      </w:r>
    </w:p>
    <w:p>
      <w:pPr>
        <w:pStyle w:val="Heading1"/>
      </w:pPr>
      <w:r>
        <w:t xml:space="preserve">6. Reproduction &amp; tests de non-régression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Commande (ftmo_portfolio/)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 attendue (±1.5 pt cohortes / ±10% montants)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python3 dataio.py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caches daily CET + M5, 28 instruments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python3 research_panel.py &amp;&amp; python3 run_phase0.py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RT: EURUSD 1.13 / US100 2.20 / BTC 18.50 bps ; swap US100 = −$6.44/lot/nuit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python3 prep_signals.py &amp;&amp; python3 fix_overnight.py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 actif 42% ; US100 all-nights +3.45 bps (t=2.1)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python3 repair_data.py + re-cost ORB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967 jours comblés ; orb era-cost full ≈ 0.000 / 2021+ +0.099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funnel challenge (cfg gelée §2.2, margin_cap=0.60)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87.1% / OOS 79.9% / pooled 83.5%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funded vm1.0 wd14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$2,592 ±10%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path_bootstrap.py ×4 seeds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moyen ~84.8, min &gt;60%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Non-régression : anticausal −1j ne doit JAMAIS améliorer (&gt;+1 pt = leak) ; placebo book-vs-flip ≈ +10-14 pts ; ancres de coûts (US100 −$6.44/nuit, auction 0.5 bps) à ±20% ; couverture intraday ≥100 bars/jour/instrument/année.</w:t>
      </w:r>
    </w:p>
    <w:p>
      <w:r>
        <w:br w:type="page"/>
      </w:r>
    </w:p>
    <w:p>
      <w:pPr>
        <w:pStyle w:val="Heading1"/>
      </w:pPr>
      <w:r>
        <w:t xml:space="preserve">7. Checklist de lancement GO/NO-GO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Specs gelées + chiffres contractuels recalculés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v2.0 (ce document)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data/causalité/comptabilité + triangulation + bootstrap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AUDIT.md, §3.3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Swaps validés au terminal (captures MT5)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modèle ±10% (§4.1)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 de marge (taux 1:50 mesuré)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60% equity, dans la spec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overnight empirique (positions réelles)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COURS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swap observé = prédiction ±20% ; sinon STOP + re-cost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Démo 3 semaines : spread auction ≤1.5 bps all-in ; slippage breaker ; swaps ±50%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FAIRE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kill : auction &gt;1.5 bps → ORB off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 MT5 (rebalance 22:05, breaker M5, abandon J+5) + réconciliation quotidienne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FAIRE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écarts inexpliqués 3 j → STOP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: 4+ fees d'avance (~$400) ; achat compte SWING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FAIRE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irréversible Standard→Swing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Acceptation du risque clause 7.3 (style agressif) — décision comité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DÉCIDER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 vm 12 ≈ −3 pts si discrétion requise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Règle de décision proposée : </w:t>
      </w:r>
      <w:r>
        <w:rPr>
          <w:sz w:val="21"/>
          <w:szCs w:val="21"/>
        </w:rPr>
        <w:t xml:space="preserve">GO si le test overnight confirme (±20%) ET la démo 3 semaines ne déclenche aucun kill-criterion. Tout échec d'un gate = retour au desk, pas de lancement partiel.</w:t>
      </w:r>
    </w:p>
    <w:p>
      <w:r>
        <w:br w:type="page"/>
      </w:r>
    </w:p>
    <w:p>
      <w:pPr>
        <w:pStyle w:val="Heading1"/>
      </w:pPr>
      <w:r>
        <w:t xml:space="preserve">8. Cimetière des falsifications &amp; leçons (à ne pas re-tester sans donnée nouvelle)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 &amp; preuve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FX trend 10 paires / FX intraday (Tokyo fix, London fix, asian breakout, London momentum)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morts (post-fix, IS/OOS)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J1 seul survivant FX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FX sessions (Ranaldo)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 RÉEL (t≈4 OOS, SR 1.5-1.7 coût zéro) mais break-even ~1 bps &lt; spread retail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démo transmis (≤1.0 bps à 00:05/08:00)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Softs/énergie/NGAS trend ; énergie carry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morts au coût mesuré ; carry non testable (swap snapshot)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 +0.55 initial = bug realized_vol, corrigé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trend LO (4 familles)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full 0.989 (réel jadis) mais 2022+ ≈ 0.3, funnel OOS −$6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funding-rate (≥5 ans de données)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Breakouts indices ×8 ; meta-label ORB F1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artefact de fill ; look-ahead (bughunt archive)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hérités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Vol-governor, start-gate, VIX-skip, P2 froide, daily-realize, weekend-flat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falsifiés en cohortes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inversions mesurées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L-mesure-avant-verdict — l'ORB mort sur hypothèse, ressuscité sur mesure ; le « tailwind » swap de J1 mort sur mesure ; les −800%/an morts sur capture. Dans tous les sens.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L-data-blind-rules — un trou de granularité rend les règles de risque aveugles (busts non détectés = pass fictifs).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L-variance-vs-drift — sous (barrière, horloge, retries), maximiser p(franchir) ≠ maximiser le Sharpe.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L-zombie / L-retry-paradox / L-buffer-flottant — les politiques de protection ont des effets de second ordre mesurables et souvent inversés.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sz w:val="21"/>
          <w:szCs w:val="21"/>
        </w:rPr>
        <w:t xml:space="preserve">Sources : PORTFOLIOS.md (specs + addenda), AUDIT.md, REPORT.md, FTMO_CANONICAL_STATE.md. Backlog : harnais de réconciliation live, gel YAML, funding-rate BTC (≥5 ans), FX sessions raw-spread, swaps historiques énergie.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FTMO — Rapport institutionnel v2.0 (pré-lancement) — confidentiel équipe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A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2026-06-10T10:00:11.096Z</dcterms:created>
  <dcterms:modified xsi:type="dcterms:W3CDTF">2026-06-10T10:00:11.103Z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