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PROGRAMME FTMO — RAPPORT INSTITUTIONNEL</w:t>
      </w:r>
    </w:p>
    <w:p>
      <w:pPr>
        <w:spacing w:after="300"/>
        <w:jc w:val="center"/>
      </w:pPr>
      <w:r>
        <w:rPr>
          <w:i/>
          <w:iCs/>
          <w:sz w:val="26"/>
          <w:szCs w:val="26"/>
        </w:rPr>
        <w:t xml:space="preserve">« Sprint pour passer, prudence pour durer »</w:t>
      </w:r>
    </w:p>
    <w:p>
      <w:pPr>
        <w:spacing w:after="120"/>
        <w:jc w:val="center"/>
      </w:pPr>
      <w:r>
        <w:rPr>
          <w:sz w:val="22"/>
          <w:szCs w:val="22"/>
        </w:rPr>
        <w:t xml:space="preserve">Deux portefeuilles systématiques sur l'univers FTMO 2-Step — spécifications gelées, validation, reproduction</w:t>
      </w:r>
    </w:p>
    <w:p>
      <w:pPr>
        <w:spacing w:before="2000"/>
        <w:jc w:val="center"/>
      </w:pPr>
      <w:r>
        <w:rPr>
          <w:sz w:val="20"/>
          <w:szCs w:val="20"/>
        </w:rPr>
        <w:t xml:space="preserve">Version 1.0 — 10 juin 2026 — Quantitative Strategy Group</w:t>
      </w:r>
    </w:p>
    <w:p>
      <w:pPr>
        <w:jc w:val="center"/>
      </w:pPr>
      <w:r>
        <w:rPr>
          <w:color w:val="888888"/>
          <w:sz w:val="18"/>
          <w:szCs w:val="18"/>
        </w:rPr>
        <w:t xml:space="preserve">Diffusion : équipe recherche &amp; trading. Backtest uniquement — 0 jour live.</w:t>
      </w:r>
    </w:p>
    <w:p>
      <w:r>
        <w:br w:type="page"/>
      </w:r>
    </w:p>
    <w:p>
      <w:pPr>
        <w:pStyle w:val="Heading1"/>
      </w:pPr>
      <w: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Résumé exécutif</w:t>
      </w:r>
    </w:p>
    <w:p>
      <w:pPr>
        <w:spacing w:after="120"/>
      </w:pPr>
      <w:r>
        <w:rPr>
          <w:sz w:val="21"/>
          <w:szCs w:val="21"/>
        </w:rPr>
        <w:t xml:space="preserve">Le programme livre deux portefeuilles d'algorithmes sur l'univers FTMO ($10k, 2-Step, type Swing), distincts par fonction objectif : un portefeuille CHALLENGE qui maximise l'EV du passage sous horloge (machine de variance séquencée), et un portefeuille FUNDED qui maximise l'extraction de payouts sous contrainte de longévité (même book de signaux, réglage de risque opposé). Tous les chiffres reposent sur un simulateur M5 exact des règles officielles 2026, des coûts mesurés par instrument et par époque, et une suite de validation à trois méthodes indépendantes.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Métrique clé</w:t>
            </w:r>
          </w:p>
        </w:tc>
        <w:tc>
          <w:tcPr>
            <w:tcW w:type="dxa" w:w="1872"/>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IS 2013-19</w:t>
            </w:r>
          </w:p>
        </w:tc>
        <w:tc>
          <w:tcPr>
            <w:tcW w:type="dxa" w:w="1872"/>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OOS 2020-26</w:t>
            </w:r>
          </w:p>
        </w:tc>
        <w:tc>
          <w:tcPr>
            <w:tcW w:type="dxa" w:w="1872"/>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Commentaire</w:t>
            </w:r>
          </w:p>
        </w:tc>
      </w:tr>
      <w:tr>
        <w:tc>
          <w:tcPr>
            <w:tcW w:type="dxa" w:w="374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p(funded ≤ 3 mois, retries) — Challenge</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87.7%</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79.5%</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design gelé sur IS</w:t>
            </w:r>
          </w:p>
        </w:tc>
      </w:tr>
      <w:tr>
        <w:tc>
          <w:tcPr>
            <w:tcW w:type="dxa" w:w="374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EV par campagne (fees $96/essai)</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+$961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+$814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3.0-3.6 essais</w:t>
            </w:r>
          </w:p>
        </w:tc>
      </w:tr>
      <w:tr>
        <w:tc>
          <w:tcPr>
            <w:tcW w:type="dxa" w:w="374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Temps médian de funding</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~32 j</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34 j</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calendaires</w:t>
            </w:r>
          </w:p>
        </w:tc>
      </w:tr>
      <w:tr>
        <w:tc>
          <w:tcPr>
            <w:tcW w:type="dxa" w:w="374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Extraction Funded (2 ans, brut)</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$2,680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0-3% bust</w:t>
            </w:r>
          </w:p>
        </w:tc>
      </w:tr>
      <w:tr>
        <w:tc>
          <w:tcPr>
            <w:tcW w:type="dxa" w:w="374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EV chaînée challenge→funded</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 +$880 / campagne</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ROI ~2.9× sur fees</w:t>
            </w:r>
          </w:p>
        </w:tc>
      </w:tr>
    </w:tbl>
    <w:p>
      <w:pPr>
        <w:spacing w:after="120"/>
      </w:pPr>
      <w:r>
        <w:rPr>
          <w:sz w:val="21"/>
          <w:szCs w:val="21"/>
        </w:rPr>
        <w:t xml:space="preserve"/>
      </w:r>
    </w:p>
    <w:p>
      <w:pPr>
        <w:spacing w:after="120"/>
      </w:pPr>
      <w:r>
        <w:rPr>
          <w:b/>
          <w:bCs/>
          <w:sz w:val="21"/>
          <w:szCs w:val="21"/>
        </w:rPr>
        <w:t xml:space="preserve">Robustesse (résumé) : </w:t>
      </w:r>
      <w:r>
        <w:rPr>
          <w:sz w:val="21"/>
          <w:szCs w:val="21"/>
        </w:rPr>
        <w:t xml:space="preserve">triangulation moteur-vs-renouvellement : écart 1.8 pt ; antifragile au slippage du breaker (p monte avec fills dégradés, coût −$30-60 d'EV) ; bootstrap de 78 histoires synthétiques : P(p&gt;50%) = 100%, pire histoire 62.9%, p5 = 74.3% ; stress swap ×1.5 / spread ×2 : EV reste ≥ +$776 ; placebo anti-edge : le container porte ~71 pts, l'edge réel +12 pts.</w:t>
      </w:r>
    </w:p>
    <w:p>
      <w:pPr>
        <w:spacing w:after="120"/>
      </w:pPr>
      <w:r>
        <w:rPr>
          <w:b/>
          <w:bCs/>
          <w:sz w:val="21"/>
          <w:szCs w:val="21"/>
        </w:rPr>
        <w:t xml:space="preserve">Conditions de validité : </w:t>
      </w:r>
      <w:r>
        <w:rPr>
          <w:sz w:val="21"/>
          <w:szCs w:val="21"/>
        </w:rPr>
        <w:t xml:space="preserve">mesures démo pré-déploiement (spread US100 à l'auction ≤1.5 bps all-in, swaps réels ±50% du modèle), risque clause 7.3 FTMO (style agressif), une seule histoire de marché sous-jacente (atténué par le bootstrap de chemins), extraction funded tronquée à 2 ans (conservateur).</w:t>
      </w:r>
    </w:p>
    <w:p>
      <w:r>
        <w:br w:type="page"/>
      </w:r>
    </w:p>
    <w:p>
      <w:pPr>
        <w:pStyle w:val="Heading1"/>
      </w:pPr>
      <w:r>
        <w:t xml:space="preserve">2. Les deux portefeuilles (spécifications gelées)</w:t>
      </w:r>
    </w:p>
    <w:p>
      <w:pPr>
        <w:pStyle w:val="Heading2"/>
      </w:pPr>
      <w:r>
        <w:t xml:space="preserve">2.1 Sleeves communs (les signaux sont identiques ; seul le réglage de risque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630"/>
        <w:gridCol w:w="1630"/>
      </w:tblGrid>
      <w:tr>
        <w:tc>
          <w:tcPr>
            <w:tcW w:type="dxa" w:w="190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Sleeve</w:t>
            </w:r>
          </w:p>
        </w:tc>
        <w:tc>
          <w:tcPr>
            <w:tcW w:type="dxa" w:w="420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Spécification (gelée, archive-validée)</w:t>
            </w:r>
          </w:p>
        </w:tc>
        <w:tc>
          <w:tcPr>
            <w:tcW w:type="dxa" w:w="163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SR net full</w:t>
            </w:r>
          </w:p>
        </w:tc>
        <w:tc>
          <w:tcPr>
            <w:tcW w:type="dxa" w:w="163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SR net 2019+</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Or trend</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TSMOM blend sign{60,120,250} sur total-return (carry-adj), zone morte θ=0.34, vol-target 10%, XAUUSD</w:t>
            </w:r>
          </w:p>
        </w:tc>
        <w:tc>
          <w:tcPr>
            <w:tcW w:type="dxa" w:w="16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0.35</w:t>
            </w:r>
          </w:p>
        </w:tc>
        <w:tc>
          <w:tcPr>
            <w:tcW w:type="dxa" w:w="16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0.47</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J1</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USDJPY TSMOM 12-1 long-only (ret t-252→t-21 &gt; 0), vol-target 10%</w:t>
            </w:r>
          </w:p>
        </w:tc>
        <w:tc>
          <w:tcPr>
            <w:tcW w:type="dxa" w:w="16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0.43</w:t>
            </w:r>
          </w:p>
        </w:tc>
        <w:tc>
          <w:tcPr>
            <w:tcW w:type="dxa" w:w="16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0.42</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Overnight midweek</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Long US100 + GER40, nuits lun &amp; mar uniquement (sessions cash : entrées 17:35/22:05, sorties 09:00/15:30 CET), net de swap+spread</w:t>
            </w:r>
          </w:p>
        </w:tc>
        <w:tc>
          <w:tcPr>
            <w:tcW w:type="dxa" w:w="16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0.66</w:t>
            </w:r>
          </w:p>
        </w:tc>
        <w:tc>
          <w:tcPr>
            <w:tcW w:type="dxa" w:w="16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0.46</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ORB V2+E7</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Opening-range breakout 30 min US100, ledger canonique NQ 4013 trades re-pricé au coût d'époque (auction mesurée par année)</w:t>
            </w:r>
          </w:p>
        </w:tc>
        <w:tc>
          <w:tcPr>
            <w:tcW w:type="dxa" w:w="16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0.40 (era-cost)</w:t>
            </w:r>
          </w:p>
        </w:tc>
        <w:tc>
          <w:tcPr>
            <w:tcW w:type="dxa" w:w="16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0.99</w:t>
            </w:r>
          </w:p>
        </w:tc>
      </w:tr>
    </w:tbl>
    <w:p>
      <w:pPr>
        <w:spacing w:after="120"/>
      </w:pPr>
      <w:r>
        <w:rPr>
          <w:sz w:val="21"/>
          <w:szCs w:val="21"/>
        </w:rPr>
        <w:t xml:space="preserve"/>
      </w:r>
    </w:p>
    <w:p>
      <w:pPr>
        <w:pStyle w:val="Heading2"/>
      </w:pPr>
      <w:r>
        <w:t xml:space="preserve">2.2 Portefeuille 1 — CHALLENGE (mur 3 mois, EV-optimisé)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Paramètre</w:t>
            </w:r>
          </w:p>
        </w:tc>
        <w:tc>
          <w:tcPr>
            <w:tcW w:type="dxa" w:w="624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Valeur gelée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Vol multiplier</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 (cap notionnel 1.5×/jambe pré-vm ; budgets : or 0.5, jpy 0.5, overnight 0.6/jambe, ORB risk 0.25%/trade tapéré)</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Phase 2</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1.2× le risque de P1 (barrières +5/−10 asymétriques)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Breaker intraday</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flatten si room journalier &lt; 30% du budget ($150), simulé au M5, fill au close du bar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Taper floor</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réduction linéaire des positions sous floor+2%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Pacing</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scale ×[0.8 ; 2.0] selon retard sur le glide-path de l'horloge ; glide 0.5 si progrès &gt;80%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Règle d'abandon</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equity &lt; floor+2% pendant 5 jours consécutifs → abandonner le compte, relancer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Exécution</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rebalance quotidien 22:05 CET ; quantization lots exacte (0.01) ; positions weekend conservées ; P&amp;L NON réalisé quotidiennement (buffer flottant)</w:t>
            </w:r>
          </w:p>
        </w:tc>
      </w:tr>
    </w:tbl>
    <w:p>
      <w:pPr>
        <w:spacing w:after="120"/>
      </w:pPr>
      <w:r>
        <w:rPr>
          <w:sz w:val="21"/>
          <w:szCs w:val="21"/>
        </w:rPr>
        <w:t xml:space="preserve"/>
      </w:r>
    </w:p>
    <w:p>
      <w:pPr>
        <w:pStyle w:val="Heading2"/>
      </w:pPr>
      <w:r>
        <w:t xml:space="preserve">2.3 Portefeuille 2 — FUNDED (rente, longévité)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Paramètre</w:t>
            </w:r>
          </w:p>
        </w:tc>
        <w:tc>
          <w:tcPr>
            <w:tcW w:type="dxa" w:w="624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Valeur gelée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Vol multiplier</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 (optimum extraction×longévité sur grille {0.5, 0.75, 1.0, 1.25, 1.5})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Governor</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breaker 30%, taper 2% ; pace OFF, glide OFF, abandon OFF</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Retraits</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toutes les 2 semaines : retirer (balance − $10k) si positif ; split trader 80% ; 1er payout rembourse la fee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Compte</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Swing obligatoire (l'achat Standard est irréversible ; le funded Standard interdit le weekend et les news)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Switch</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IMMÉDIAT au passage en funded : vm 14 → 1.0. Garder le book sprint en funded : médiane $0, 59% bust, vie 27 j (mesuré)</w:t>
            </w:r>
          </w:p>
        </w:tc>
      </w:tr>
    </w:tbl>
    <w:p>
      <w:r>
        <w:br w:type="page"/>
      </w:r>
    </w:p>
    <w:p>
      <w:pPr>
        <w:pStyle w:val="Heading1"/>
      </w:pPr>
      <w:r>
        <w:t xml:space="preserve">3. Métriques complètes</w:t>
      </w:r>
    </w:p>
    <w:p>
      <w:pPr>
        <w:pStyle w:val="Heading2"/>
      </w:pPr>
      <w:r>
        <w:t xml:space="preserve">3.1 Challenge (mur 91 jours, retries + abandon inclus)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20"/>
        <w:gridCol w:w="2020"/>
        <w:gridCol w:w="2020"/>
      </w:tblGrid>
      <w:tr>
        <w:tc>
          <w:tcPr>
            <w:tcW w:type="dxa" w:w="330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Mesure</w:t>
            </w:r>
          </w:p>
        </w:tc>
        <w:tc>
          <w:tcPr>
            <w:tcW w:type="dxa" w:w="202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IS 2013-19</w:t>
            </w:r>
          </w:p>
        </w:tc>
        <w:tc>
          <w:tcPr>
            <w:tcW w:type="dxa" w:w="202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OOS 2020-26</w:t>
            </w:r>
          </w:p>
        </w:tc>
        <w:tc>
          <w:tcPr>
            <w:tcW w:type="dxa" w:w="202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Note</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p(funded)</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87.7%</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79.5%</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cohortes hebdo, n≈325/fenêtre</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Essais (espérance)</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3.26</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3.55</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fees ~$310-340</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EV campagne</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+$961</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+$814</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valeur funded $1,453</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 1 SEUL essai (61j)</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28.2% max</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plafond structurel, vm 10</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95% funded</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mur 270 j</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3.91 essais espérés</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Stress swap ×1.5</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81.5% pooled</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EV +$878</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Stress spread ×2</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77.9% pooled</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EV +$776</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Slippage breaker k=1.0</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85.2% pooled</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EV +$767 (antifragile)</w:t>
            </w:r>
          </w:p>
        </w:tc>
      </w:tr>
    </w:tbl>
    <w:p>
      <w:pPr>
        <w:spacing w:after="120"/>
      </w:pPr>
      <w:r>
        <w:rPr>
          <w:sz w:val="21"/>
          <w:szCs w:val="21"/>
        </w:rPr>
        <w:t xml:space="preserve"/>
      </w:r>
    </w:p>
    <w:p>
      <w:pPr>
        <w:pStyle w:val="Heading2"/>
      </w:pPr>
      <w:r>
        <w:t xml:space="preserve">3.2 Funded (horizon 2 ans tronqué, retraits bi-mensuels)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20"/>
        <w:gridCol w:w="2020"/>
        <w:gridCol w:w="2020"/>
      </w:tblGrid>
      <w:tr>
        <w:tc>
          <w:tcPr>
            <w:tcW w:type="dxa" w:w="330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Mesure</w:t>
            </w:r>
          </w:p>
        </w:tc>
        <w:tc>
          <w:tcPr>
            <w:tcW w:type="dxa" w:w="202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IS 2013-19</w:t>
            </w:r>
          </w:p>
        </w:tc>
        <w:tc>
          <w:tcPr>
            <w:tcW w:type="dxa" w:w="202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OOS 2020-24</w:t>
            </w:r>
          </w:p>
        </w:tc>
        <w:tc>
          <w:tcPr>
            <w:tcW w:type="dxa" w:w="202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Note</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E[extraction brute]</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$2,680</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médiane OOS $2,120</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p10 / p90</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$95 / $5,268</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Taux de bust</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1-3%</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vie médiane = horizon plein</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Payouts moyens</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11.3</w:t>
            </w:r>
          </w:p>
        </w:tc>
        <w:tc>
          <w:tcPr>
            <w:tcW w:type="dxa" w:w="2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
            </w:r>
          </w:p>
        </w:tc>
      </w:tr>
    </w:tbl>
    <w:p>
      <w:pPr>
        <w:spacing w:after="120"/>
      </w:pPr>
      <w:r>
        <w:rPr>
          <w:sz w:val="21"/>
          <w:szCs w:val="21"/>
        </w:rPr>
        <w:t xml:space="preserve"/>
      </w:r>
    </w:p>
    <w:p>
      <w:pPr>
        <w:pStyle w:val="Heading2"/>
      </w:pPr>
      <w:r>
        <w:t xml:space="preserve">3.3 Suite d'inférence (carte blanche)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30"/>
        <w:gridCol w:w="3030"/>
      </w:tblGrid>
      <w:tr>
        <w:tc>
          <w:tcPr>
            <w:tcW w:type="dxa" w:w="330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Test</w:t>
            </w:r>
          </w:p>
        </w:tc>
        <w:tc>
          <w:tcPr>
            <w:tcW w:type="dxa" w:w="303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Résultat</w:t>
            </w:r>
          </w:p>
        </w:tc>
        <w:tc>
          <w:tcPr>
            <w:tcW w:type="dxa" w:w="303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Lecture</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Triangulation renouvellement</w:t>
            </w:r>
          </w:p>
        </w:tc>
        <w:tc>
          <w:tcPr>
            <w:tcW w:type="dxa" w:w="30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79.0% vs moteur 80.8%</w:t>
            </w:r>
          </w:p>
        </w:tc>
        <w:tc>
          <w:tcPr>
            <w:tcW w:type="dxa" w:w="30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 calculs disjoints concordent à 1.8 pt ; essais quasi indépendants</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Bootstrap chemins (78 histoires ~2.3 ans, blocs 13 sem.)</w:t>
            </w:r>
          </w:p>
        </w:tc>
        <w:tc>
          <w:tcPr>
            <w:tcW w:type="dxa" w:w="30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 moyen 84.8%, p5 74.3%, min 62.9%</w:t>
            </w:r>
          </w:p>
        </w:tc>
        <w:tc>
          <w:tcPr>
            <w:tcW w:type="dxa" w:w="30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P(p&gt;50%) = 100% — pas un artefact de la séquence 2013-2026</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Placebo sign-flip (anticausal du book)</w:t>
            </w:r>
          </w:p>
        </w:tc>
        <w:tc>
          <w:tcPr>
            <w:tcW w:type="dxa" w:w="30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71.4% vs 83.3%</w:t>
            </w:r>
          </w:p>
        </w:tc>
        <w:tc>
          <w:tcPr>
            <w:tcW w:type="dxa" w:w="30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container ~71 pts, edge réel +12 pts — claim correctement attribué</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Delay-test funnel</w:t>
            </w:r>
          </w:p>
        </w:tc>
        <w:tc>
          <w:tcPr>
            <w:tcW w:type="dxa" w:w="30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+1j : −1.3 pt ; anticausal −1j : −3.7 pts</w:t>
            </w:r>
          </w:p>
        </w:tc>
        <w:tc>
          <w:tcPr>
            <w:tcW w:type="dxa" w:w="30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aucun look-ahead ; dégradation gracieuse</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DSR (gate BTC, méthode Bailey-LdP)</w:t>
            </w:r>
          </w:p>
        </w:tc>
        <w:tc>
          <w:tcPr>
            <w:tcW w:type="dxa" w:w="30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process validé</w:t>
            </w:r>
          </w:p>
        </w:tc>
        <w:tc>
          <w:tcPr>
            <w:tcW w:type="dxa" w:w="30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utilisé pour tout candidat ; compte d'essais honnête</w:t>
            </w:r>
          </w:p>
        </w:tc>
      </w:tr>
    </w:tbl>
    <w:p>
      <w:r>
        <w:br w:type="page"/>
      </w:r>
    </w:p>
    <w:p>
      <w:pPr>
        <w:pStyle w:val="Heading1"/>
      </w:pPr>
      <w:r>
        <w:t xml:space="preserve">4. Données : sources, lignage, réparations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Jeu</w:t>
            </w:r>
          </w:p>
        </w:tc>
        <w:tc>
          <w:tcPr>
            <w:tcW w:type="dxa" w:w="358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Source / couverture</w:t>
            </w:r>
          </w:p>
        </w:tc>
        <w:tc>
          <w:tcPr>
            <w:tcW w:type="dxa" w:w="358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Rôle &amp; intégrité</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M1 true-UTC ×28 instruments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deep_history_utc/ (Dukascopy backfill + MT5, 2007-2026, spreads calibrés)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barres daily CE(S)T + M5 ; gates décodeur 0 mismatch</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NQ futures M1</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databento GLBX 2010-2026 (raw/NQ_1min...parquet)</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ledger ORB + proxy de réparation US100</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Panels daily</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panels/ftmo_close.csv (10 indices 2000-2026, corr 0.997 vs NQ), btc_full, crypto_panel</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warmup signaux + sleeves daily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Rates 3m ×10 devises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panels/fx_rates_3m.csv (2005-2026)</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modèle de swap variable dans le temps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Specs broker</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ftmo_research/ftmo_specs_full.csv (21 instruments : swaps signés par direction, digits, lots)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ancres du moteur de coûts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Funding rates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funding_rates.csv (HL, 2023+)</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lead BTC (non promu)</w:t>
            </w:r>
          </w:p>
        </w:tc>
      </w:tr>
    </w:tbl>
    <w:p>
      <w:pPr>
        <w:spacing w:after="120"/>
      </w:pPr>
      <w:r>
        <w:rPr>
          <w:sz w:val="21"/>
          <w:szCs w:val="21"/>
        </w:rPr>
        <w:t xml:space="preserve"/>
      </w:r>
    </w:p>
    <w:p>
      <w:pPr>
        <w:pStyle w:val="Heading2"/>
      </w:pPr>
      <w:r>
        <w:t xml:space="preserve">4.1 Réparations de données (AUDIT F1 — critique)</w:t>
      </w:r>
    </w:p>
    <w:p>
      <w:pPr>
        <w:pStyle w:val="ListParagraph"/>
        <w:numPr>
          <w:ilvl w:val="0"/>
          <w:numId w:val="2"/>
        </w:numPr>
        <w:spacing w:after="80"/>
      </w:pPr>
      <w:r>
        <w:rPr>
          <w:sz w:val="21"/>
          <w:szCs w:val="21"/>
        </w:rPr>
        <w:t xml:space="preserve">US100 M1 : 1 bar/jour sur 2018-2020 (stubs) → breaker/règle daily aveugles 3 ans en sim, +9.2 pts d'IS fictifs. RÉPARÉ : 967 jours ouvrés comblés par proxy NQ M5 (ratio d'ancre 0.998), seam unique 0.35% documenté.</w:t>
      </w:r>
    </w:p>
    <w:p>
      <w:pPr>
        <w:pStyle w:val="ListParagraph"/>
        <w:numPr>
          <w:ilvl w:val="0"/>
          <w:numId w:val="2"/>
        </w:numPr>
        <w:spacing w:after="80"/>
      </w:pPr>
      <w:r>
        <w:rPr>
          <w:sz w:val="21"/>
          <w:szCs w:val="21"/>
        </w:rPr>
        <w:t xml:space="preserve">GER40 : trou mi-2019→2021 → jours masqués NaN post-ffill (jambes auto-neutralisées par le quantize-guard) ; pas de proxy Eurex disponible.</w:t>
      </w:r>
    </w:p>
    <w:p>
      <w:pPr>
        <w:pStyle w:val="ListParagraph"/>
        <w:numPr>
          <w:ilvl w:val="0"/>
          <w:numId w:val="2"/>
        </w:numPr>
        <w:spacing w:after="80"/>
      </w:pPr>
      <w:r>
        <w:rPr>
          <w:sz w:val="21"/>
          <w:szCs w:val="21"/>
        </w:rPr>
        <w:t xml:space="preserve">Softs/sessions à trous : realized_vol exigeait 60 jours consécutifs non-NaN → positions zérotées silencieusement (60 j post-férié). CORRIGÉ (min_periods=20) ; l'or actif passe de 28% à 42% du temps.</w:t>
      </w:r>
    </w:p>
    <w:p>
      <w:pPr>
        <w:spacing w:after="120"/>
      </w:pPr>
      <w:r>
        <w:rPr>
          <w:sz w:val="21"/>
          <w:szCs w:val="21"/>
        </w:rPr>
        <w:t xml:space="preserve">Le stack audité est chargé exclusivement via audit_stack.load_audited() — toute analyse qui ne passe pas par ce loader est non conforme.</w:t>
      </w:r>
    </w:p>
    <w:p>
      <w:pPr>
        <w:pStyle w:val="Heading2"/>
      </w:pPr>
      <w:r>
        <w:t xml:space="preserve">4.2 Modèle de coûts (L33 : le paramètre qui décide)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c>
          <w:tcPr>
            <w:tcW w:type="dxa" w:w="190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Classe</w:t>
            </w:r>
          </w:p>
        </w:tc>
        <w:tc>
          <w:tcPr>
            <w:tcW w:type="dxa" w:w="240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RT all-in mesuré</w:t>
            </w:r>
          </w:p>
        </w:tc>
        <w:tc>
          <w:tcPr>
            <w:tcW w:type="dxa" w:w="506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Swap (modèle calibré juin 2026, variable via rates 3m)</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FX majors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1.1-3.1 bps</w:t>
            </w:r>
          </w:p>
        </w:tc>
        <w:tc>
          <w:tcPr>
            <w:tcW w:type="dxa" w:w="5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markups 1.4-3.5%/an par côté sur différentiel ; USDJPY long = crédit</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Indices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2.2 bps (auction 15:30 : 0.5 bps actuel ; 4.3 bps en 2013 → ORB era-costed)</w:t>
            </w:r>
          </w:p>
        </w:tc>
        <w:tc>
          <w:tcPr>
            <w:tcW w:type="dxa" w:w="5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ancre mesurée US100 −662.4 pts = −$6.62/nuit exacte</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XAU / oils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1.8 / 8.2-8.5 bps</w:t>
            </w:r>
          </w:p>
        </w:tc>
        <w:tc>
          <w:tcPr>
            <w:tcW w:type="dxa" w:w="5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−2.0 bps/nuit long XAU ; oils : snapshot constant (limite documentée)</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Crypto</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18.5 bps</w:t>
            </w:r>
          </w:p>
        </w:tc>
        <w:tc>
          <w:tcPr>
            <w:tcW w:type="dxa" w:w="5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−8.22 bps/nuit (−30%/an, fourni MD, stress ±50%)</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Softs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144-1190 bps</w:t>
            </w:r>
          </w:p>
        </w:tc>
        <w:tc>
          <w:tcPr>
            <w:tcW w:type="dxa" w:w="5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exclus (spread prohibitif, granularité lots)</w:t>
            </w:r>
          </w:p>
        </w:tc>
      </w:tr>
    </w:tbl>
    <w:p>
      <w:r>
        <w:br w:type="page"/>
      </w:r>
    </w:p>
    <w:p>
      <w:pPr>
        <w:pStyle w:val="Heading1"/>
      </w:pPr>
      <w:r>
        <w:t xml:space="preserve">5. Architecture &amp; simulateur</w:t>
      </w:r>
    </w:p>
    <w:p>
      <w:pPr>
        <w:pStyle w:val="Heading2"/>
      </w:pPr>
      <w:r>
        <w:t xml:space="preserve">5.1 Modules (ftmo_portfolio/)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Fichier</w:t>
            </w:r>
          </w:p>
        </w:tc>
        <w:tc>
          <w:tcPr>
            <w:tcW w:type="dxa" w:w="676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Rôle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config.py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règles FTMO verrouillées (sources officielles 2026-04/05), univers, constantes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costs.py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moteur swap/spread/commission ; conversion points→bps cross-validée sur ancres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dataio.py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M1 → barres daily CE(S)T + M5 closes (cache parquet)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research_panel.py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panel maître px/rets/swaps/multipliers/coûts RT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sleeves.py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signaux (tsmom blend carry-adj, realized_vol min_periods, trend_book, overnight)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prep_signals.py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quotidiens (cap 1.5×/jambe) + flag overnight 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simulator.py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moteur M5 par segments : règles exactes, comptabilité balance/equity, quantization, breaker (+slip k), taper, pacing, abandon, funnel 2 phases + retries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audit_stack.py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loader unique du stack réparé (SEULE source autorisée)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funded.py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phase funded : pas de cible/horloge, retraits périodiques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path_bootstrap.py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bootstrap de chemins par blocs-semaines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run_phase3.py / it_runner.py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harnais cohortes (FDIAG/GRID/OOS/FULL) et itérations</w:t>
            </w:r>
          </w:p>
        </w:tc>
      </w:tr>
    </w:tbl>
    <w:p>
      <w:pPr>
        <w:spacing w:after="120"/>
      </w:pPr>
      <w:r>
        <w:rPr>
          <w:sz w:val="21"/>
          <w:szCs w:val="21"/>
        </w:rPr>
        <w:t xml:space="preserve"/>
      </w:r>
    </w:p>
    <w:p>
      <w:pPr>
        <w:pStyle w:val="Heading2"/>
      </w:pPr>
      <w:r>
        <w:t xml:space="preserve">5.2 Règles implémentées (fidélité au texte officiel, pages 2026-05)</w:t>
      </w:r>
    </w:p>
    <w:p>
      <w:pPr>
        <w:pStyle w:val="ListParagraph"/>
        <w:numPr>
          <w:ilvl w:val="0"/>
          <w:numId w:val="2"/>
        </w:numPr>
        <w:spacing w:after="80"/>
      </w:pPr>
      <w:r>
        <w:rPr>
          <w:sz w:val="21"/>
          <w:szCs w:val="21"/>
        </w:rPr>
        <w:t xml:space="preserve">Max Daily Loss : equity (balance + flottant ± swaps − commissions) ≥ balance@00:00 CE(S)T − 5% du capital initial — vérifié sur la grille M5 ; l'ancre balance N'EST PAS l'equity (le buffer de gains flottants est modélisé — et mesuré précieux : le réaliser quotidiennement coûte +6 pts de bust).</w:t>
      </w:r>
    </w:p>
    <w:p>
      <w:pPr>
        <w:pStyle w:val="ListParagraph"/>
        <w:numPr>
          <w:ilvl w:val="0"/>
          <w:numId w:val="2"/>
        </w:numPr>
        <w:spacing w:after="80"/>
      </w:pPr>
      <w:r>
        <w:rPr>
          <w:sz w:val="21"/>
          <w:szCs w:val="21"/>
        </w:rPr>
        <w:t xml:space="preserve">Max Loss statique : equity ≥ $9,000 à tout instant (M5).</w:t>
      </w:r>
    </w:p>
    <w:p>
      <w:pPr>
        <w:pStyle w:val="ListParagraph"/>
        <w:numPr>
          <w:ilvl w:val="0"/>
          <w:numId w:val="2"/>
        </w:numPr>
        <w:spacing w:after="80"/>
      </w:pPr>
      <w:r>
        <w:rPr>
          <w:sz w:val="21"/>
          <w:szCs w:val="21"/>
        </w:rPr>
        <w:t xml:space="preserve">Cibles : balance ≥ +10% (P1) / +5% (P2) positions closes ; min 4 jours d'OUVERTURE par phase ; pas de limite de temps FTMO (l'horloge est celle du mandat) ; gap inter-phases 3 jours ouvrés ; retry gap 2 jours.</w:t>
      </w:r>
    </w:p>
    <w:p>
      <w:pPr>
        <w:pStyle w:val="ListParagraph"/>
        <w:numPr>
          <w:ilvl w:val="0"/>
          <w:numId w:val="2"/>
        </w:numPr>
        <w:spacing w:after="80"/>
      </w:pPr>
      <w:r>
        <w:rPr>
          <w:sz w:val="21"/>
          <w:szCs w:val="21"/>
        </w:rPr>
        <w:t xml:space="preserve">Évaluation : aucune restriction news/weekend (vérifié FAQ officielle) ; le funded Standard en a → Swing à l'achat.</w:t>
      </w:r>
    </w:p>
    <w:p>
      <w:pPr>
        <w:pStyle w:val="ListParagraph"/>
        <w:numPr>
          <w:ilvl w:val="0"/>
          <w:numId w:val="2"/>
        </w:numPr>
        <w:spacing w:after="80"/>
      </w:pPr>
      <w:r>
        <w:rPr>
          <w:sz w:val="21"/>
          <w:szCs w:val="21"/>
        </w:rPr>
        <w:t xml:space="preserve">Comptabilité : avg-price par jambe, P&amp;L réalisé sur réductions, swaps postés à minuit (3× mer. FX/métaux, ven. indices/énergie), quantization au pas de lot exact, approximation quanto USDJPY documentée (~ret², négligeable).</w:t>
      </w:r>
    </w:p>
    <w:p>
      <w:r>
        <w:br w:type="page"/>
      </w:r>
    </w:p>
    <w:p>
      <w:pPr>
        <w:pStyle w:val="Heading1"/>
      </w:pPr>
      <w:r>
        <w:t xml:space="preserve">6. Guide de reproduction (équipe)</w:t>
      </w:r>
    </w:p>
    <w:p>
      <w:pPr>
        <w:pStyle w:val="Heading2"/>
      </w:pPr>
      <w:r>
        <w:t xml:space="preserve">6.1 Environnement</w:t>
      </w:r>
    </w:p>
    <w:p>
      <w:pPr>
        <w:spacing w:after="120"/>
      </w:pPr>
      <w:r>
        <w:rPr>
          <w:sz w:val="21"/>
          <w:szCs w:val="21"/>
        </w:rPr>
        <w:t xml:space="preserve">Python 3.10+, pandas, numpy, pyarrow, scipy. Données : le dossier data/ complet (deep_history_utc/, panels/, raw/NQ_1min_databento_2010-2026.parquet, ftmo_research/audit/*.parquet, funding_rates.csv). Tous les chemins sont centralisés dans config.py (adapter DATA si la racine diffère).</w:t>
      </w:r>
    </w:p>
    <w:p>
      <w:pPr>
        <w:pStyle w:val="Heading2"/>
      </w:pPr>
      <w:r>
        <w:t xml:space="preserve">6.2 Séquence de reproduction (ordre 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4000"/>
      </w:tblGrid>
      <w:tr>
        <w:tc>
          <w:tcPr>
            <w:tcW w:type="dxa" w:w="70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w:t>
            </w:r>
          </w:p>
        </w:tc>
        <w:tc>
          <w:tcPr>
            <w:tcW w:type="dxa" w:w="466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Commande (depuis ftmo_portfolio/)</w:t>
            </w:r>
          </w:p>
        </w:tc>
        <w:tc>
          <w:tcPr>
            <w:tcW w:type="dxa" w:w="400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Produit / valeur attendue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python3 dataio.py  (≈15 min, 28 instruments)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cache/*_daily_cet.parquet + *_m5_close.parquet</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python3 research_panel.py</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panel 25 col. 2000-2026 ; RT : EURUSD 1.13, US100 2.20, BTC 18.50 bps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python3 run_phase0.py</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swap model : US100 −662.4 pts ✓, EURUSD −1.06/+0.05 bps/nuit ✓</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python3 prep_signals.py</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 or actif 42%, jpy 36% ; caps ±1.5</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python3 fix_overnight.py</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US100 all-nights +3.45 bps (t=2.1) ; GER40 mer. +10.67 (t=3.6)</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6</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python3 repair_data.py</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967 jours comblés, ancre 0.998, seam 0.35%</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re-pricer ORB (cf. §A2 du PORTFOLIOS.md)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orb_e7_Rera : mean_R full ≈ 0.000, 2021+ ≈ +0.099</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FDIAG via run_phase3/it_runner (config gelée §2.2)</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IS91 p = 87.7% ±1.5 (grille de cohortes), OOS91 = 79.5% ±1.5</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funded.py sweep vm=1.0 wd=14</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OOS E[extraction] = $2,680 ±10%</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path_bootstrap.py 20 &lt;seed&gt; ×4 seeds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 moyen 84.8 ±2, min &gt;60%</w:t>
            </w:r>
          </w:p>
        </w:tc>
      </w:tr>
    </w:tbl>
    <w:p>
      <w:pPr>
        <w:spacing w:after="120"/>
      </w:pPr>
      <w:r>
        <w:rPr>
          <w:sz w:val="21"/>
          <w:szCs w:val="21"/>
        </w:rPr>
        <w:t xml:space="preserve">Tolérances : les p de cohortes dépendent du pas d'échantillonnage (step 5-11) : ±1.5 pt attendu ; les valeurs hors tolérance signalent une dérive de données ou une régression de code. Chaque chiffre du rapport est régénérable — aucun chiffre à la main.</w:t>
      </w:r>
    </w:p>
    <w:p>
      <w:pPr>
        <w:pStyle w:val="Heading2"/>
      </w:pPr>
      <w:r>
        <w:t xml:space="preserve">6.3 Tests de non-régression (à exécuter avant tout merge)</w:t>
      </w:r>
    </w:p>
    <w:p>
      <w:pPr>
        <w:pStyle w:val="ListParagraph"/>
        <w:numPr>
          <w:ilvl w:val="0"/>
          <w:numId w:val="2"/>
        </w:numPr>
        <w:spacing w:after="80"/>
      </w:pPr>
      <w:r>
        <w:rPr>
          <w:sz w:val="21"/>
          <w:szCs w:val="21"/>
        </w:rPr>
        <w:t xml:space="preserve">Causalité : delay +1j doit DÉGRADER doucement ; anticausal −1j ne doit JAMAIS améliorer (&gt;+1 pt = leak).</w:t>
      </w:r>
    </w:p>
    <w:p>
      <w:pPr>
        <w:pStyle w:val="ListParagraph"/>
        <w:numPr>
          <w:ilvl w:val="0"/>
          <w:numId w:val="2"/>
        </w:numPr>
        <w:spacing w:after="80"/>
      </w:pPr>
      <w:r>
        <w:rPr>
          <w:sz w:val="21"/>
          <w:szCs w:val="21"/>
        </w:rPr>
        <w:t xml:space="preserve">Placebo sign-flip : l'écart book-vs-flip doit rester ≈ +10-14 pts (edge réel stable).</w:t>
      </w:r>
    </w:p>
    <w:p>
      <w:pPr>
        <w:pStyle w:val="ListParagraph"/>
        <w:numPr>
          <w:ilvl w:val="0"/>
          <w:numId w:val="2"/>
        </w:numPr>
        <w:spacing w:after="80"/>
      </w:pPr>
      <w:r>
        <w:rPr>
          <w:sz w:val="21"/>
          <w:szCs w:val="21"/>
        </w:rPr>
        <w:t xml:space="preserve">Ancres de coûts : US100 swap −$6.62/nuit exact ; spread auction 2024+ ≈ 0.5 bps ; toute dérive &gt;20% = re-calibrer.</w:t>
      </w:r>
    </w:p>
    <w:p>
      <w:pPr>
        <w:pStyle w:val="ListParagraph"/>
        <w:numPr>
          <w:ilvl w:val="0"/>
          <w:numId w:val="2"/>
        </w:numPr>
        <w:spacing w:after="80"/>
      </w:pPr>
      <w:r>
        <w:rPr>
          <w:sz w:val="21"/>
          <w:szCs w:val="21"/>
        </w:rPr>
        <w:t xml:space="preserve">Couverture intraday par année (leçon F1) : bars/jour min par instrument et par an ≥ 100 — sinon STOP.</w:t>
      </w:r>
    </w:p>
    <w:p>
      <w:r>
        <w:br w:type="page"/>
      </w:r>
    </w:p>
    <w:p>
      <w:pPr>
        <w:pStyle w:val="Heading1"/>
      </w:pPr>
      <w:r>
        <w:t xml:space="preserve">7. Risques, conditions de déploiement, kill criteria</w:t>
      </w:r>
    </w:p>
    <w:p>
      <w:pPr>
        <w:pStyle w:val="Heading2"/>
      </w:pPr>
      <w:r>
        <w:t xml:space="preserve">7.1 Registre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060"/>
      </w:tblGrid>
      <w:tr>
        <w:tc>
          <w:tcPr>
            <w:tcW w:type="dxa" w:w="230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Risque</w:t>
            </w:r>
          </w:p>
        </w:tc>
        <w:tc>
          <w:tcPr>
            <w:tcW w:type="dxa" w:w="400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Description</w:t>
            </w:r>
          </w:p>
        </w:tc>
        <w:tc>
          <w:tcPr>
            <w:tcW w:type="dxa" w:w="306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Mitigation / statut</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Clause 7.3 FTMO</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style ~20×/jambe séquencé sur 2-3 comptes = profil scrutable (« gambling-like »)</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multi-positions+stops+breaker défendable ; repli vm 12 (−3 pts) ; NON quantifiable en backtest</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Feed réel ≠ backtest</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spreads/swaps/fills FTMO vs Dukascopy/modèle</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protocole démo ≥3 sem. : auction ≤1.5 bps, swaps ±50%, slippage breaker</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Slippage exécution</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fills M5-close optimistes</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stress k=1.0 : p MONTE, coût −$60 EV — antifragile, borné</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Single history</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une seule séquence de marché</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bootstrap 78 chemins : min 62.9% ; ne crée pas de régimes inédits (limite résiduelle)</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Régimes futurs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le book est régime-dépendant (IS 88 vs OOS 79)</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les deux chiffres publiés ; pas de prédictabilité exploitable (falsifié)</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Brutalité opérationnelle</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~65% des essais meurent en jours</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discipline d'abandon codée ; budget ≥4 fees d'avance</w:t>
            </w:r>
          </w:p>
        </w:tc>
      </w:tr>
    </w:tbl>
    <w:p>
      <w:pPr>
        <w:pStyle w:val="Heading2"/>
      </w:pPr>
      <w:r>
        <w:t xml:space="preserve">7.2 Kill criteria (live)</w:t>
      </w:r>
    </w:p>
    <w:p>
      <w:pPr>
        <w:pStyle w:val="ListParagraph"/>
        <w:numPr>
          <w:ilvl w:val="0"/>
          <w:numId w:val="2"/>
        </w:numPr>
        <w:spacing w:after="80"/>
      </w:pPr>
      <w:r>
        <w:rPr>
          <w:sz w:val="21"/>
          <w:szCs w:val="21"/>
        </w:rPr>
        <w:t xml:space="preserve">Spread démo mesuré &gt; 2× hypothèse sur une jambe → jambe OFF (ORB off si auction &gt; 1.5 bps all-in).</w:t>
      </w:r>
    </w:p>
    <w:p>
      <w:pPr>
        <w:pStyle w:val="ListParagraph"/>
        <w:numPr>
          <w:ilvl w:val="0"/>
          <w:numId w:val="2"/>
        </w:numPr>
        <w:spacing w:after="80"/>
      </w:pPr>
      <w:r>
        <w:rPr>
          <w:sz w:val="21"/>
          <w:szCs w:val="21"/>
        </w:rPr>
        <w:t xml:space="preserve">Swap réel &gt; 1.5× modèle → recalibrer avant de continuer.</w:t>
      </w:r>
    </w:p>
    <w:p>
      <w:pPr>
        <w:pStyle w:val="ListParagraph"/>
        <w:numPr>
          <w:ilvl w:val="0"/>
          <w:numId w:val="2"/>
        </w:numPr>
        <w:spacing w:after="80"/>
      </w:pPr>
      <w:r>
        <w:rPr>
          <w:sz w:val="21"/>
          <w:szCs w:val="21"/>
        </w:rPr>
        <w:t xml:space="preserve">3 mois glissants de book funded &lt; −6% hors busts → redesign.</w:t>
      </w:r>
    </w:p>
    <w:p>
      <w:pPr>
        <w:pStyle w:val="ListParagraph"/>
        <w:numPr>
          <w:ilvl w:val="0"/>
          <w:numId w:val="2"/>
        </w:numPr>
        <w:spacing w:after="80"/>
      </w:pPr>
      <w:r>
        <w:rPr>
          <w:sz w:val="21"/>
          <w:szCs w:val="21"/>
        </w:rPr>
        <w:t xml:space="preserve">Tout écart de réconciliation quotidienne fills/swaps non expliqué 3 jours de suite → STOP trading.</w:t>
      </w:r>
    </w:p>
    <w:p>
      <w:r>
        <w:br w:type="page"/>
      </w:r>
    </w:p>
    <w:p>
      <w:pPr>
        <w:pStyle w:val="Heading1"/>
      </w:pPr>
      <w:r>
        <w:t xml:space="preserve">8. Le cimetière des falsifications (à ne PAS re-tester sans donnée nouvelle)</w:t>
      </w:r>
    </w:p>
    <w:p>
      <w:pPr>
        <w:spacing w:after="120"/>
      </w:pPr>
      <w:r>
        <w:rPr>
          <w:sz w:val="21"/>
          <w:szCs w:val="21"/>
        </w:rPr>
        <w:t xml:space="preserve">~120 hypothèses testées dans ce cycle (et ~1100 dans le programme antérieur). Négatifs rigoureux = livrables. Compte d'essais chargé aux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Famille</w:t>
            </w:r>
          </w:p>
        </w:tc>
        <w:tc>
          <w:tcPr>
            <w:tcW w:type="dxa" w:w="328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Verdict &amp; preuve</w:t>
            </w:r>
          </w:p>
        </w:tc>
        <w:tc>
          <w:tcPr>
            <w:tcW w:type="dxa" w:w="3280"/>
            <w:tcBorders>
              <w:top w:val="single" w:color="BBBBBB" w:sz="1"/>
              <w:left w:val="single" w:color="BBBBBB" w:sz="1"/>
              <w:bottom w:val="single" w:color="BBBBBB" w:sz="1"/>
              <w:right w:val="single" w:color="BBBBBB" w:sz="1"/>
            </w:tcBorders>
            <w:shd w:fill="1F3B57" w:val="clear"/>
            <w:tcMar>
              <w:top w:type="dxa" w:w="60"/>
              <w:left w:type="dxa" w:w="100"/>
              <w:bottom w:type="dxa" w:w="60"/>
              <w:right w:type="dxa" w:w="100"/>
            </w:tcMar>
          </w:tcPr>
          <w:p>
            <w:r>
              <w:rPr>
                <w:b/>
                <w:bCs/>
                <w:color w:val="FFFFFF"/>
                <w:sz w:val="19"/>
                <w:szCs w:val="19"/>
              </w:rPr>
              <w:t xml:space="preserve">Note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FX trend 10 paires (toutes variantes, post-fix)</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SR −0.36 à −0.02 ; confirme A1</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J1 = seul survivant FX</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FX sessions (Ranaldo)</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edge RÉEL (t≈4 OOS, SR 1.5-1.7 coût zéro) mais break-even ~1.0-1.4 bps &lt; spread retail</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test démo falsifiable transmis (≤1.0 bps à 00:05/08:00)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FX intraday (Tokyo fix, London fix, asian breakout, London momentum)</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morts (n.s., signes opposés IS/OOS, ou brut ≪ coût)</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London reversal brut −0.76 bps : fait micro réel non récoltable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Softs/énergie/NGAS trend (toutes cadences)</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−2.2 à +0.2 au coût mesuré</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le +0.55 initial était le bug realized_vol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Énergie carry-harvest</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non testable (swap modèle = snapshot constant)</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lead ouvert : exige swaps historiques broker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BTC trend LO (4 familles)</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DSR full 0.989 (réel historiquement) MAIS 2022+ ≈ 0.3 et funnel OOS −$6</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non promu ; lead funding-rate (≥5 ans de données)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Breakouts indices (8 ledgers)</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artefact de fill intrabar (delay-1 ≈ 0)</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hérité + confirmé</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Meta-labeling ORB (F1/ttb)</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look-ahead short (bughunt archive) ; signature 3-var sous quarantaine post-2026-07</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foreclos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Vol-governor (ML et naïf)</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Ridge &lt; baseline RV5 ; overlay RV5 −13.5 pts</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le vol-targeting par jambe est la bonne architecture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Start-gate, VIX-skip overnight, P2 froide, daily-realize, weekend-flat</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tous falsifiés en cohortes</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les inversions contre-intuitives sont mesurées, pas supposées</w:t>
            </w:r>
          </w:p>
        </w:tc>
      </w:tr>
    </w:tbl>
    <w:p>
      <w:pPr>
        <w:pStyle w:val="Heading2"/>
      </w:pPr>
      <w:r>
        <w:t xml:space="preserve">8.1 Leçons banquées (extraits du journal)</w:t>
      </w:r>
    </w:p>
    <w:p>
      <w:pPr>
        <w:pStyle w:val="ListParagraph"/>
        <w:numPr>
          <w:ilvl w:val="0"/>
          <w:numId w:val="2"/>
        </w:numPr>
        <w:spacing w:after="80"/>
      </w:pPr>
      <w:r>
        <w:rPr>
          <w:sz w:val="21"/>
          <w:szCs w:val="21"/>
        </w:rPr>
        <w:t xml:space="preserve">L-mesure-avant-verdict : l'ORB est mort sur une hypothèse de coût et a ressuscité sur une mesure ; le swap « tailwind » de J1 est mort sur une mesure. Dans les deux sens.</w:t>
      </w:r>
    </w:p>
    <w:p>
      <w:pPr>
        <w:pStyle w:val="ListParagraph"/>
        <w:numPr>
          <w:ilvl w:val="0"/>
          <w:numId w:val="2"/>
        </w:numPr>
        <w:spacing w:after="80"/>
      </w:pPr>
      <w:r>
        <w:rPr>
          <w:sz w:val="21"/>
          <w:szCs w:val="21"/>
        </w:rPr>
        <w:t xml:space="preserve">L-data-blind-rules : un trou de granularité rend les règles de risque aveugles en sim (busts non détectés = pass fictifs). Auditer la couverture intraday par année avant tout claim.</w:t>
      </w:r>
    </w:p>
    <w:p>
      <w:pPr>
        <w:pStyle w:val="ListParagraph"/>
        <w:numPr>
          <w:ilvl w:val="0"/>
          <w:numId w:val="2"/>
        </w:numPr>
        <w:spacing w:after="80"/>
      </w:pPr>
      <w:r>
        <w:rPr>
          <w:sz w:val="21"/>
          <w:szCs w:val="21"/>
        </w:rPr>
        <w:t xml:space="preserve">L-zombie : sous barrière statique + horloge, tout taper protecteur exige une règle d'abandon, sinon il convertit des busts retry-ables en morts lentes.</w:t>
      </w:r>
    </w:p>
    <w:p>
      <w:pPr>
        <w:pStyle w:val="ListParagraph"/>
        <w:numPr>
          <w:ilvl w:val="0"/>
          <w:numId w:val="2"/>
        </w:numPr>
        <w:spacing w:after="80"/>
      </w:pPr>
      <w:r>
        <w:rPr>
          <w:sz w:val="21"/>
          <w:szCs w:val="21"/>
        </w:rPr>
        <w:t xml:space="preserve">L-variance-vs-drift : sous (barrière, horloge, retries), maximiser p(franchir) ≠ maximiser le Sharpe — à edge faible, l'optimum est la variance maximale contrôlée par les règles.</w:t>
      </w:r>
    </w:p>
    <w:p>
      <w:pPr>
        <w:pStyle w:val="ListParagraph"/>
        <w:numPr>
          <w:ilvl w:val="0"/>
          <w:numId w:val="2"/>
        </w:numPr>
        <w:spacing w:after="80"/>
      </w:pPr>
      <w:r>
        <w:rPr>
          <w:sz w:val="21"/>
          <w:szCs w:val="21"/>
        </w:rPr>
        <w:t xml:space="preserve">L-retry-paradox : minimiser les busts détruit l'optionalité des retries ; l'optimum global n'est pas l'optimum par essai.</w:t>
      </w:r>
    </w:p>
    <w:p>
      <w:pPr>
        <w:pStyle w:val="ListParagraph"/>
        <w:numPr>
          <w:ilvl w:val="0"/>
          <w:numId w:val="2"/>
        </w:numPr>
        <w:spacing w:after="80"/>
      </w:pPr>
      <w:r>
        <w:rPr>
          <w:sz w:val="21"/>
          <w:szCs w:val="21"/>
        </w:rPr>
        <w:t xml:space="preserve">L-buffer-flottant : sous daily ancrée balance, NE PAS réaliser quotidiennement — le flottant positif est un coussin réglementaire gratuit.</w:t>
      </w:r>
    </w:p>
    <w:p>
      <w:pPr>
        <w:spacing w:after="120"/>
      </w:pPr>
      <w:r>
        <w:rPr>
          <w:sz w:val="21"/>
          <w:szCs w:val="21"/>
        </w:rPr>
        <w:t xml:space="preserve"/>
      </w:r>
    </w:p>
    <w:p>
      <w:pPr>
        <w:spacing w:after="120"/>
      </w:pPr>
      <w:r>
        <w:rPr>
          <w:b/>
          <w:bCs/>
          <w:sz w:val="21"/>
          <w:szCs w:val="21"/>
        </w:rPr>
        <w:t xml:space="preserve">Backlog (ordre de valeur) : </w:t>
      </w:r>
      <w:r>
        <w:rPr>
          <w:sz w:val="21"/>
          <w:szCs w:val="21"/>
        </w:rPr>
        <w:t xml:space="preserve">harnais de réconciliation live (EA MT5 + comparateur quotidien fills/swaps/spreads, kill-criteria automatiques) ; gel YAML des specs ; funding-rate BTC à ≥5 ans ; FX sessions si raw-spread ≤1 bps ; swaps historiques énergie.</w:t>
      </w:r>
    </w:p>
    <w:p>
      <w:pPr>
        <w:spacing w:after="120"/>
      </w:pPr>
      <w:r>
        <w:rPr>
          <w:sz w:val="21"/>
          <w:szCs w:val="21"/>
        </w:rPr>
        <w:t xml:space="preserve"/>
      </w:r>
    </w:p>
    <w:p>
      <w:pPr>
        <w:spacing w:after="120"/>
      </w:pPr>
      <w:r>
        <w:rPr>
          <w:i/>
          <w:iCs/>
          <w:sz w:val="21"/>
          <w:szCs w:val="21"/>
        </w:rPr>
        <w:t xml:space="preserve">Documents sources : PORTFOLIOS.md (specs + addenda mandats), AUDIT.md (findings F1-F6), REPORT.md (itérations 1-2 + §9-11), FTMO_CANONICAL_STATE.md (réconciliation programme). Tout est dans data/ftmo_portfolio/ et data/ftmo_universe/.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FTMO — Rapport institutionnel v1.0 — confidentiel équipe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3B57"/>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A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2026-06-10T03:38:04.840Z</dcterms:created>
  <dcterms:modified xsi:type="dcterms:W3CDTF">2026-06-10T03:38:04.841Z</dcterms:modified>
</cp:coreProperties>
</file>

<file path=docProps/custom.xml><?xml version="1.0" encoding="utf-8"?>
<Properties xmlns="http://schemas.openxmlformats.org/officeDocument/2006/custom-properties" xmlns:vt="http://schemas.openxmlformats.org/officeDocument/2006/docPropsVTypes"/>
</file>