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Systematic Trading Research — Internal Report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BTC Intraday Strategies for an FTMO 2-Step Challenge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Exhaustive search, negative results, and one surviving structural edge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Programme: btc_intraday_ftmo   ·   Date: 12 July 2026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Confidential — internal research. Not investment advice.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1. Executive Summary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2. Objective &amp; Constraints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3. Methodology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4. Research Arc — Steps &amp; Metrics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5. The Surviving Edge — Month-End Bounce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6. Strategies Ruled Out &amp; Why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7. The Four Structural Killers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8. Metrics Glossary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9. Reusable Assets &amp; Reproduction</w:t>
      </w:r>
    </w:p>
    <w:p>
      <w:pPr>
        <w:spacing w:after="110" w:line="276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10. Conclusion &amp; Recommendation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Objective: build, from scratch, a systematic BTC intraday strategy able to pass an FTMO 2-Step 10k challenge — long-only, intraday-flat (to avoid overnight swap), sized aggressively, accepting unlimited attempts as long as expected value (EV) is positive.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Method: a pre-registered, evidence-based research programme applying institutional discipline — signal at T-1 / trade at T, excess returns, HAC (Newey-West) t-stats, walk-forward, Deflated Sharpe Ratio (DSR) for multiple-testing, and a purpose-built path-aware FTMO barrier engine. 19 distinct specifications were tested (N_ledger), each with a pre-committed kill rule.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Headline findings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The vast majority of intraday-BTC ideas are cost-dead on the FTMO CFD: the tradeable round-trip cost (~8–10 bps) exceeds the intraday signal magnitude (sub-bps to a few bps). This independently replicated the firm's prior 5-axis crypto screen.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Momentum/breakout families are not just cost-dead but the wrong profile for a symmetric barrier (lumpy, low win-rate, fat tails). Intraday BTC breakouts significantly FADE (HAC t ≈ −10).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One genuine edge survived every test: a market-wide MONTH-END intraday bounce (last Friday of month). Win-rate 0.75, win/loss 1.37, +0.47%/trade net, HAC t +2.55, with a very small left tail (mean intraday drawdown −0.36%).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It is a real calendar effect — falsified as generic beta (buying dips on ordinary days LOSES −8.9 bps) and as options-gamma (present equally on options-illiquid coins). But it is low-frequency (~8/yr) and recent-regime (2023+).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Bottom line: </w:t>
      </w:r>
      <w:r>
        <w:rPr>
          <w:rFonts w:ascii="Calibri" w:cs="Calibri" w:eastAsia="Calibri" w:hAnsi="Calibri"/>
          <w:sz w:val="20"/>
          <w:szCs w:val="20"/>
        </w:rPr>
        <w:t xml:space="preserve">no standalone BTC intraday algo can pass the challenge in under a month — the space is largely cost-dead and the one real edge is slow. The month-end bounce is a clean, sizable, decorrelated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sleeve</w:t>
      </w:r>
      <w:r>
        <w:rPr>
          <w:rFonts w:ascii="Calibri" w:cs="Calibri" w:eastAsia="Calibri" w:hAnsi="Calibri"/>
          <w:sz w:val="20"/>
          <w:szCs w:val="20"/>
        </w:rPr>
        <w:t xml:space="preserve"> for the existing multi-strategy book, not a solo engine.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Objective &amp; Constraints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2.1 The FTMO 2-Step 10k challenge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/ Phase 2 profit target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+10% / +5%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loss limit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−5% (from day-start balance/equity)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loss limit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−10% (static, from initial balance)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Minimum trading days / phase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 limit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 ($10k 2-step)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€89 / $89, refunded on first payout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 split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 (90% on 1-step)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Crypto leverage (Normal account)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1:3.33 → max notional $33.3k on $10k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Round-trip cost (BTCUSD CFD)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6.5 bps commission + ~1–5 bps spread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2.2 Strategy mandate &amp; the sizing insight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Mandate: BTC, long-only (unless shorts add value), intraday-flat. The binding sizing constraint is the −5%/day limit, not the −10% total: at max leverage a −1.5% BTC move breaches the daily floor. There is therefore an EV-optimal sizing below full leverage — aggressive sizing cannot manufacture EV where no edge exists (the lever is the edge, not the size).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Pre-registration: every hypothesis frozen (design + pre-committed kill rule) before seeing results; results logged in an N_ledger with cumulative trial count for multiple-testing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Statistical discipline: signal at T-1 / trade at T; excess returns; HAC Newey-West (lag 6) t-stats, threshold |t| &gt; 2.5; walk-forward ≥5 folds; Deflated Sharpe Ratio (Bailey–López de Prado) when ≥2 specs tested; effect size + bootstrap CI, not the t-stat alone.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Path-aware FTMO barrier engine: the audited industry simulator checks the −5%/day floor on NET DAILY return (EOD approximation). For a book holding a floating position intraday this OVERESTIMATES survival by 34–49 percentage points. We built and validated a path-aware engine that enforces the floor on the true intraday equity path (via max adverse excursion).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Anti-false-negative protocol: a formal pre-mortem of the 10 ways a real edge could be wrongly killed (wrong cost model, market vs limit execution, pooled regimes, wrong gate class, stop whipsaw, low power judged on t alone, premature stop, etc.), each with a binding mitigation.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Author ≠ auditor: the one positive result was independently recomputed from raw data in a fresh session before being reported.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Research Arc — Steps &amp; Metrics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Every backtested specification below increments the cumulative trial count (N_ledger). All returns are net of the FTMO CFD cost model.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4.1 Infrastructure &amp; cost (Phase 1)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Data: Binance BTC 1-minute, 2018→2026, 4.42M bars, 99.8% coverage. Live-regime round-trip cost ≈ 8 bps; in cheap-BTC years (2018–20) the same $-spread was 12–38 bps — early history is heavily cost-penalised, so results are always shown by regime.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Opportunity ceiling (raw intraday move vs cost): 5-min ≈ 0.9× cost (dead), 30-min ≈ 2.2×, 60-min ≈ 3.0×. Tradeable horizon is ≥30–60 min; sub-15-min is structurally cost-dead.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4.2 Barrier engine (Phase 2)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Validated: reproduces the audited EOD engine in the degenerate case; consistent with the closed-form first-passage. Key demonstration — enforcing the −5%/day floor on the intraday path cuts pass-probability from ~50% (EOD-approx) to 16% (1σ intraday swing) or 0.8% (2σ). This is why the whole programme costs and sizes on the path, not the daily net.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4.3 Three pre-registered families (Phase 3) — all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900"/>
        <w:gridCol w:w="1500"/>
        <w:gridCol w:w="1200"/>
        <w:gridCol w:w="2400"/>
      </w:tblGrid>
      <w:tr>
        <w:trPr>
          <w:tblHeader/>
        </w:trPr>
        <w:tc>
          <w:tcPr>
            <w:tcW w:type="dxa" w:w="33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Net/trade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 t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F1a ORB breakout 00:00 UTC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2652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−19.1 bps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−9.63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Breakout FADES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F1b ORB breakout 13:30 UTC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2366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−18.7 bps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−10.04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Breakout FADES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F2 US-session long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3073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−15.7 bps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−5.86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Sub-cost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F3 pre-event drift (FOMC/CPI)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168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−5.8 bps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−0.67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Underpowered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Reading: intraday BTC breakouts do not continue — they mean-revert (t ≈ −10), but at a magnitude (~2.5 bps) below cost. Directional session-drift and event pre-drift are real but sub-cost / underpowered.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4.4 Reconciliation with the firm's prior screen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These results independently replicated an existing internal 5-axis crypto-intraday screen (FOMC/CPI reaction, US-open flow, ORB, lead-lag, funding-window — all previously killed). Two independent methods, same conclusion. Only prior survivor: liquidation-cascade reversion (real but decaying, one-sided, low-frequency).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4.5 Literature-grounded correction — vol-conditional momentum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Per the intraday time-series-momentum literature (effect concentrated on high-volatility days), we tested a vol-conditional momentum sleeve. Recent-regime gross was positive (+27 bps) but the decisive validation failed: HAC t ≤ 1.9, walk-forward 3/6 folds with a sign-flip, DSR 0.03–0.04, path-aware p(pass) 5.75%. Verdict: STOP.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4.6 Mean-reversion &amp; options-gamma (Pre-registration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300"/>
        <w:gridCol w:w="210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result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#1 Oversold bounce (RSI2/IBS/VWAP)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RSI2&lt;5 gross +0.34 bps vs ~10.5 cost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Cost-dead (real but ~30× under cost)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#2 Options daily/weekly expiry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Momentum, not reversal</w:t>
            </w:r>
          </w:p>
        </w:tc>
        <w:tc>
          <w:tcPr>
            <w:tcW w:type="dxa" w:w="2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V-shape falsified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#2 Options MONTHLY expiry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+40–48 bps net, t ≈ 2.5, WR 0.75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— investigated further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4.7 Cross-asset extension &amp; the placebo mechanism test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To raise power/frequency on the monthly-expiry bounce, we pooled options-liquid coins (BTC/ETH/SOL) against a placebo of options-illiquid coins (DOGE/XRP/BNB). The placebo was AS STRONG or stronger (DOGE +70 bps, t 3.18). This FALSIFIED the options-gamma mechanism: the effect is not options-specific. It also showed cross-asset pooling adds no real breadth — the coins are ~1 correlated bet (crypto beta), so the pooled t-stat is inflated.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4.8 Alpha-vs-beta — the decisive test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Is the month-end bounce a real calendar edge or just 2023+ bull-market dip-buying? A temporal placebo settled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900"/>
        <w:gridCol w:w="1300"/>
        <w:gridCol w:w="1300"/>
        <w:gridCol w:w="13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BTC 2023+, buy the 04:00→08:00 dip, hold to 12:00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 t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Ordinary (non-last-Friday) days [placebo]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594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−8.9 bps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−2.98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0.44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Friday of month only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+47.1 bps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+2.55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0.75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Buying dips on ordinary days LOSES significantly; only the last Friday bounces. Combined with the cross-asset placebo, the effect is a genuine MARKET-WIDE MONTH-END calendar effect (rebalancing flow) — neither generic beta nor options-gamma. ETH confirms. Pre-2022 it is negative (−26 bps): a recent-regime phenomenon.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The Surviving Edge — Month-End Bounce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Rule: on the last Friday of each month, if open(08:00 UTC)/open(04:00 UTC) − 1 &lt; 0, go LONG at 08:00 UTC and exit at 11:59 UTC (intraday-flat, no swap). Recommended live hard stop −2.5% to bound the one-in-28 tail.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5.1 Metrics (BTC, 2023+, net of CFD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920"/>
        <w:gridCol w:w="2760"/>
        <w:gridCol w:w="1920"/>
      </w:tblGrid>
      <w:tr>
        <w:trPr>
          <w:tblHeader/>
        </w:trPr>
        <w:tc>
          <w:tcPr>
            <w:tcW w:type="dxa" w:w="2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2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2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trades</w:t>
            </w:r>
          </w:p>
        </w:tc>
        <w:tc>
          <w:tcPr>
            <w:tcW w:type="dxa" w:w="192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(~8/yr)</w:t>
            </w:r>
          </w:p>
        </w:tc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 t</w:t>
            </w:r>
          </w:p>
        </w:tc>
        <w:tc>
          <w:tcPr>
            <w:tcW w:type="dxa" w:w="192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+2.55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Win-rate</w:t>
            </w:r>
          </w:p>
        </w:tc>
        <w:tc>
          <w:tcPr>
            <w:tcW w:type="dxa" w:w="192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0.75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 net / trade</w:t>
            </w:r>
          </w:p>
        </w:tc>
        <w:tc>
          <w:tcPr>
            <w:tcW w:type="dxa" w:w="192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+0.47%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Win/loss ratio</w:t>
            </w:r>
          </w:p>
        </w:tc>
        <w:tc>
          <w:tcPr>
            <w:tcW w:type="dxa" w:w="192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1.37</w:t>
            </w:r>
          </w:p>
        </w:tc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bounce</w:t>
            </w:r>
          </w:p>
        </w:tc>
        <w:tc>
          <w:tcPr>
            <w:tcW w:type="dxa" w:w="192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+3.30%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 MAE (mean)</w:t>
            </w:r>
          </w:p>
        </w:tc>
        <w:tc>
          <w:tcPr>
            <w:tcW w:type="dxa" w:w="192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−0.36%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 MAE (worst)</w:t>
            </w:r>
          </w:p>
        </w:tc>
        <w:tc>
          <w:tcPr>
            <w:tcW w:type="dxa" w:w="192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−3.37%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5.2 Sizing frontier (path-aware barrier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400"/>
        <w:gridCol w:w="20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Leverage</w:t>
            </w:r>
          </w:p>
        </w:tc>
        <w:tc>
          <w:tcPr>
            <w:tcW w:type="dxa" w:w="31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p(pass, 2 phases, ≤800d)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~Median months (P1)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P(bust, ~P1)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31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31%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52%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31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63%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3.33 (max)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65%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7.9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23%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Because the left tail is tiny, aggressive sizing is near-optimal here (faster to target, less time exposed to the barrier). But even at max leverage, Phase 1 takes ~8 months — the binding constraint is FREQUENCY (~8/yr), not sizing. This edge cannot pass a challenge quickly on its own; it is a diversifying sleeve or a patient standalone play (no time limit).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Strategies Ruled Out &amp; Why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6.1 Momentum / continuation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 ruled out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ORB breakout (00:00 &amp; 13:30 UTC)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Breakout fades, not continues (HAC t −10); gross negative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 TSM (unconditional / vol-conditional)</w:t>
            </w:r>
          </w:p>
        </w:tc>
        <w:tc>
          <w:tcPr>
            <w:tcW w:type="dxa" w:w="5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Unconditional −19 bps; vol-conditional t~0.9, WF 3/6 sign-flip, DSR 0.03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crypto TSMOM (prior)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Beta-dominated; CFD 7-night swap ≈ 19 bps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6.2 Mean-reversion / reversal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 ruled out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Oversold bounce (RSI2 / IBS / VWAP)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but cost-dead: +0.34 bps gross vs ~10.5 bps cost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intraday dip-buying</w:t>
            </w:r>
          </w:p>
        </w:tc>
        <w:tc>
          <w:tcPr>
            <w:tcW w:type="dxa" w:w="5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−6 to −9 bps on ordinary days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Liquidation-cascade reversion (prior)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mechanism but decaying (negative 2025), one-sided, ~130/yr clustered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6.3 Session / seasonality /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 ruled out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US-session long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+1.35 bps, sub-cost; negative in recent regime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Hour-of-day seasonality</w:t>
            </w:r>
          </w:p>
        </w:tc>
        <w:tc>
          <w:tcPr>
            <w:tcW w:type="dxa" w:w="5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21–22 UTC significant = server-rollover artifact + no-trade window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Overnight 21–23 UTC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(t 3.64) but +7.2 bps &lt; ~9 bps cost + swap → likely cost-dead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Turn-of-the-candle (0/15/30/45m)</w:t>
            </w:r>
          </w:p>
        </w:tc>
        <w:tc>
          <w:tcPr>
            <w:tcW w:type="dxa" w:w="5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Minute-scale move ≈ cost on CFD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6.4 Event-driven &amp; microstructure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 ruled out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FOMC/CPI pre-event drift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+4.7 bps sub-cost, underpowered (~20/yr)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Options gamma/expiry (daily/weekly/monthly)</w:t>
            </w:r>
          </w:p>
        </w:tc>
        <w:tc>
          <w:tcPr>
            <w:tcW w:type="dxa" w:w="5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Daily/weekly falsified; monthly real but market-wide, NOT gamma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Cross-asset lead-lag; funding-window (prior)</w:t>
            </w:r>
          </w:p>
        </w:tc>
        <w:tc>
          <w:tcPr>
            <w:tcW w:type="dxa" w:w="5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Sub-cost / HFT territory; spot-CFD ignores perp funding</w:t>
            </w:r>
          </w:p>
        </w:tc>
      </w:tr>
    </w:tbl>
    <w:p>
      <w:pPr>
        <w:spacing w:after="8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The Four Structural Killers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Cost wall (dominant): CFD round-trip ~8–10 bps recent exceeds the sub-bps-to-few-bps intraday signal. Real on a low-cost exchange, dead on the FTMO CFD.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Wrong profile: momentum/breakout families are lumpy (low win-rate, fat tails) — the opposite of what a symmetric barrier rewards (high win-rate, win/loss ≈ 1, low kurtosis).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Underpowered + regime-dependent: the few positives are recent-only, low-N and sign-flipping → DSR ≈ 0 once deflated for multiple testing.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Beta-dominance: long-only crypto is timed beta, not alpha — fragile out of a bull regime and left-tail-dangerous against the daily floor.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Metrics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 t-stat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Newey-West heteroskedasticity/autocorrelation-consistent t; |t|&gt;2.5 required for significance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Deflated Sharpe Ratio — Sharpe corrected for non-normality and number of strategies tried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Walk-forward (WF)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Out-of-sample validation across ≥5 sequential folds; &gt;60% positive required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p(pass)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Probability of completing both challenge phases without breaching, from the barrier engine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MAE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Maximum Adverse Excursion — worst intraday drawdown of a trade (drives daily-floor breach risk)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Win/loss ratio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winning trade ÷ average losing trade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Placebo test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control (other days / other assets) that should be null if the mechanism is real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Reusable Assets &amp; Reproduction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Path-aware FTMO barrier engine (ftmo_barrier.py) — superior to the EOD-approx simulator for any intraday book; contribution candidate.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BTC CFD cost model, data loader, and audited backtest harness (T-1→T, hard stop, HAC).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Anti-false-negative pre-mortem protocol (reusable research-hygiene checklist).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Full chronological record with all metrics: N_ledger.md (19 specifications). Sleeve spec: SLEEVE_month_end_bounce.md.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Conclusion &amp; Recommendation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After an exhaustive, pre-registered search (19 specifications), BTC intraday long-only for FTMO is confirmed largely cost-dead — a result that independently replicates the firm's prior crypto screen and generalises the retail-CFD cost wall. Momentum/breakout families are additionally the wrong profile for a symmetric barrier.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One genuine structural edge survived every test — a market-wide month-end intraday bounce, cleanly validated against beta and gamma placebos, with the win-rate/left-tail profile the barrier rewards. It is low-frequency (~8/yr) and recent-regime, so it cannot pass a challenge quickly on its 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sz w:val="20"/>
          <w:szCs w:val="20"/>
        </w:rPr>
        <w:t xml:space="preserve">deploy the month-end bounce as a small, monitored, diversifying SLEEVE of the existing multi-strategy book (decorrelated timing, intraday-flat, sizable due to a tiny left tail), starting below full size and re-evaluating for regime decay after ~6–8 live trades. Do not deploy it as a standalone fast challenge-passer. Additional sleeves should be sought outside the (now largely exhausted) intraday-BTC space.</w:t>
      </w:r>
    </w:p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Prepared for internal team review. All figures reproducible from the cited code and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2026-07-12T11:13:45.510Z</dcterms:created>
  <dcterms:modified xsi:type="dcterms:W3CDTF">2026-07-12T11:13:45.510Z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