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Systematic Trading Research — Internal Report</w:t>
      </w:r>
    </w:p>
    <w:p>
      <w:pPr>
        <w:spacing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Regime-Rotation Strategy on BTC for an FTMO Challenge</w:t>
      </w: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595959"/>
          <w:sz w:val="23"/>
          <w:szCs w:val="23"/>
        </w:rPr>
        <w:t xml:space="preserve">Regime identification → adapted sleeve → optimization. A two-sleeve book, and its DSR ceiling.</w:t>
      </w:r>
    </w:p>
    <w:p>
      <w:pPr>
        <w:spacing w:before="90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Programme: btc_intraday_ftmo   ·   Date: 12 July 2026   ·   Confidential — internal, for audit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1. Executive Summary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2. Objective &amp; Approach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3. Data &amp; Cost Model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4. Regime Identification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5. Results, Step by Step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6. The Regime × Strategy Matrix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7. Validation of the Best Candidate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8. Honest Verdict &amp; Limitations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9. Path Forward</w:t>
      </w:r>
    </w:p>
    <w:p>
      <w:pPr>
        <w:spacing w:after="110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10. Reproduction &amp; Glossary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Goal: build a systematic BTC strategy able to pass an FTMO 2-Step 10k challenge, accepting a beta (regime-timing) edge rather than alpha. Approach: identify the current market regime, deploy the sleeve best suited to that regime, and optimize sizing against the FTMO barrier.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Headline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BTC offers exactly TWO good, decorrelated regime-sleeves: a long trend sleeve in calm uptrends (Sharpe 0.98) and a capitulation-bounce sleeve after deep flushes (Sharpe 0.72). Shorting bear regimes and range mean-reversion both LOSE money and, added to the book, reduce its Sharpe.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The best result is a TWO-SLEEVE book (trend + capitulation): annualized Sharpe 1.13, MaxDD −17%, FTMO p(pass) 46%, positive expected value under unlimited attempts (+$266/attempt), and 5/5 positive walk-forward folds spanning bull and bear markets.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HOWEVER, the book FAILS the Deflated Sharpe Ratio (DSR ≈ 0.00) — the same gate that produced NO-GO on the earlier month-end sleeve. Sharpe 1.13 is far below the multiple-testing-adjusted bar (~1.9). This is the central item for audit.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Verdict: </w:t>
      </w:r>
      <w:r>
        <w:rPr>
          <w:rFonts w:ascii="Calibri" w:cs="Calibri" w:eastAsia="Calibri" w:hAnsi="Calibri"/>
          <w:sz w:val="20"/>
          <w:szCs w:val="20"/>
        </w:rPr>
        <w:t xml:space="preserve">a genuine, EV-positive, walk-forward-robust two-sleeve BTC book that beats buy-and-hold on risk-adjusted terms and halves its drawdown — but does not clear the DSR. Whether a DSR-failing yet WF-robust, EV-positive BETA book is acceptable is a risk-appetite judgment for the team. The mathematically sound path past the DSR is cross-asset diversification (indices/gold, data already on disk), not more BTC-only sleeves.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Objective &amp; Approach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Prior work established that BTC intraday price signals carry no tradeable alpha net of FTMO CFD costs. This programme therefore pursues an explicitly BETA strategy: not predicting a signal, but harvesting BTC's directional beta only in favourable regimes and standing aside in unfavourable ones. The schema is: regime identified → sleeve adapted to that regime → sizing optimized against the barrier.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A key structural insight drove the design: the earlier always-on regime-long failed not on signal but on DRAWDOWN vs the −10% barrier. The programme therefore prioritized barrier-friendly STRUCTURES (vol-targeting, short holds, diversification) over signal-hunting.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Data &amp; Cost Model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Data: Binance BTC 1-minute 2018→2026 (resampled to daily). Also available on disk (used later): ETH/SOL/BNB 1m, US100/US500/GER40/XAU, Deribit DVOL (daily), hourly funding. All regime features are lagged (known at day open) — no look-ahead.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FTMO Swing BTCUSD parameter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used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Commission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0.0325% per side = 6.5 bps round-trip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Spread</w:t>
            </w:r>
          </w:p>
        </w:tc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floating; ~4 bps modelled (recent regime)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Swap (long &amp; short)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−30%/yr ≈ 8.22 bps/night, ×3 on Fridays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Leverage (margin 30%)</w:t>
            </w:r>
          </w:p>
        </w:tc>
        <w:tc>
          <w:tcPr>
            <w:tcW w:type="dxa" w:w="468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1:3.33 (max notional $33.3k on $10k)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Barrier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−5%/day, −10% max (static), +10%/+5% targets, ≥4 days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Regime Identification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Baseline-first (a transparent rule the model must beat). Two orthogonal axes, both from data ≤ t−1: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Trend: sign of price vs 50-day MA, strength via Kaufman Efficiency Ratio vs its expanding median → up / down / range.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Volatility: 30-day realized vol vs its expanding median → low / high.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Six regimes result (up/down/range × low/high vol), plus a stress override. This baseline is the reference; an HMM/change-point model would only be adopted if it beats it out-of-sample (deferred — the baseline already carries the signal).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Results, Step by Step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5.1 Regime predictive content (foundation gate)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Do regimes separate FORWARD returns and volatility, out-of-sample? Vol prediction is reliable; directional prediction is concentrated in one regime.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Regime (known at open)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Fwd return (full)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Fwd return (2023+)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Fwd |return| (vol)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up-lo (bull-calm)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+39.7 bps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+32.5 bps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(163–193)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up-hi (bull-vol)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+29.7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−37.1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(204–290)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range-lo / range-hi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−5.6 / +12.1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+8.2 / +7.6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150–266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down-lo (bear-calm)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−6.5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+8.5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210–233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down-hi (crash)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+44.7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+59.9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(237–313)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Reading: vol regime robustly predicts forward vol (usable for sizing). Directional content is robust only in bull-calm (up-lo); down-hi shows a post-crash bounce (dangerous — fat tails).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5.2 Base regime-beta sleeve (net real FTMO cost + swap)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Long BTC only in bull-calm (up-lo), flat otherwise. Horizon tested both ways; benchmarks mandatory.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type="dxa" w:w="45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Ann. return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Multi-day (net swap+cost)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+0.80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+19%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−37%</w:t>
            </w:r>
          </w:p>
        </w:tc>
      </w:tr>
      <w:tr>
        <w:tc>
          <w:tcPr>
            <w:tcW w:type="dxa" w:w="45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Intraday-flat (net cost)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+0.75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+16%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−29%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Benchmark: buy-and-hold BTC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+0.68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+43%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−77%</w:t>
            </w:r>
          </w:p>
        </w:tc>
      </w:tr>
      <w:tr>
        <w:tc>
          <w:tcPr>
            <w:tcW w:type="dxa" w:w="45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Benchmark: naive MA-filter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+0.64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+27%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−62%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regime filter beats both benchmarks risk-adjusted and roughly halves the drawdown (defensive value). Multi-day beats intraday-flat despite the swap → horizon = swing.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5.3 Refinement &amp; first validation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Adding a 200-day trend filter (long only if price &gt; MA200) removed the bear years (2022, 2018 → flat) but only marginally improved metrics: Sharpe 0.85→0.89, MaxDD −36%→−33% (drawdowns also occur within bulls, e.g. the 2021 crash). DSR failed (0.001–0.066). At FTMO-compliant sizing (MaxDD −33% → 0.30× leverage) the return is ~+5%/yr → +10% in ~22 months — too slow.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5.4 Improvement axis 1 — volatility forecasting (no gain)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3200"/>
      </w:tblGrid>
      <w:tr>
        <w:trPr>
          <w:tblHeader/>
        </w:trPr>
        <w:tc>
          <w:tcPr>
            <w:tcW w:type="dxa" w:w="45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 estimator in the sizing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30-day realized (used)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+0.98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−21%</w:t>
            </w:r>
          </w:p>
        </w:tc>
      </w:tr>
      <w:tr>
        <w:tc>
          <w:tcPr>
            <w:tcW w:type="dxa" w:w="45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EWMA (λ=0.94)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+0.91</w:t>
            </w:r>
          </w:p>
        </w:tc>
        <w:tc>
          <w:tcPr>
            <w:tcW w:type="dxa" w:w="3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−20%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10-day realized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+0.90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−23%</w:t>
            </w:r>
          </w:p>
        </w:tc>
      </w:tr>
      <w:tr>
        <w:tc>
          <w:tcPr>
            <w:tcW w:type="dxa" w:w="45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Parkinson (intraday range)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+0.79</w:t>
            </w:r>
          </w:p>
        </w:tc>
        <w:tc>
          <w:tcPr>
            <w:tcW w:type="dxa" w:w="3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−23%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DVOL (implied)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insufficient data (2021+, &lt;200 days)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simple 30-day realized vol is already best; fancier estimators do not help. Note: vol-targeting alone lifted the sleeve from Sharpe 0.89 (always-on) to 0.98 and cut MaxDD from −33% to −21% — the single biggest structural improvement.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5.5 Improvement axis 2 — diversification (the real lever)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A capitulation-bounce sleeve was built (trigger: 3-day drop below −15%; long the bounce 1 day; vol-targeted) → Sharpe 0.72, MaxDD −3% (N=25, deep flushes are rare). It is decorrelated from the trend sleeve by construction (disjoint regimes; measured correlation ≈ 0.00). Combining them lifts the book above the Sharpe-1.0 gate: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p(pass)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DSR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Trend sleeve alone (A)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+0.98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−21%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40%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3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+ capitulation (2-sleeve) — BEST</w:t>
            </w:r>
          </w:p>
        </w:tc>
        <w:tc>
          <w:tcPr>
            <w:tcW w:type="dxa" w:w="13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+1.13</w:t>
            </w:r>
          </w:p>
        </w:tc>
        <w:tc>
          <w:tcPr>
            <w:tcW w:type="dxa" w:w="13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−17%</w:t>
            </w:r>
          </w:p>
        </w:tc>
        <w:tc>
          <w:tcPr>
            <w:tcW w:type="dxa" w:w="13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46%</w:t>
            </w:r>
          </w:p>
        </w:tc>
        <w:tc>
          <w:tcPr>
            <w:tcW w:type="dxa" w:w="13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+ capitulation + short-bear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+0.82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−26%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12%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3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+ capitulation + range-MR</w:t>
            </w:r>
          </w:p>
        </w:tc>
        <w:tc>
          <w:tcPr>
            <w:tcW w:type="dxa" w:w="13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+0.94</w:t>
            </w:r>
          </w:p>
        </w:tc>
        <w:tc>
          <w:tcPr>
            <w:tcW w:type="dxa" w:w="13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−24%</w:t>
            </w:r>
          </w:p>
        </w:tc>
        <w:tc>
          <w:tcPr>
            <w:tcW w:type="dxa" w:w="13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34%</w:t>
            </w:r>
          </w:p>
        </w:tc>
        <w:tc>
          <w:tcPr>
            <w:tcW w:type="dxa" w:w="13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Diversification works only with a good sleeve: adding the short-bear (Sharpe −0.05) or range-MR (Sharpe −0.18) — both decorrelated but negative — REDUCES the book Sharpe. This is the key discipline: a decorrelated but losing sleeve drags the book down.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The Regime × Strategy Matrix (fully mapped)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000"/>
        <w:gridCol w:w="1800"/>
        <w:gridCol w:w="1800"/>
      </w:tblGrid>
      <w:tr>
        <w:trPr>
          <w:tblHeader/>
        </w:trPr>
        <w:tc>
          <w:tcPr>
            <w:tcW w:type="dxa" w:w="27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Regime cell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Sleeve tested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Sharpe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Bull-calm (up-lo)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 trend, vol-targeted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+0.98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Crash (deep flush)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Capitulation bounce, 1-day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+0.72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DECENT (thin, N=25)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 (down)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Short, vol-targeted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−0.05 / −0.19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 — crypto squeezes + drift + swap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Range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Mean-reversion (z-oversold)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−0.18 to −0.83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 — 'range' only visible ex-post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BTC-only offers exactly two good, decorrelated sleeves. Adding more (bad) sleeves cannot lift the book. Hence the BTC-only book ceiling is ~1.1–1.2 Sharpe.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Validation of the Best Candidate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two-sleeve book (Sharpe 1.13) — three independent tests: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1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Walk-forward (5 folds, bull+bear)</w:t>
            </w:r>
          </w:p>
        </w:tc>
        <w:tc>
          <w:tcPr>
            <w:tcW w:type="dxa" w:w="41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+1.38 / +1.56 / +0.53 / +0.82 / +0.39 → 5/5 positive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 (WF&gt;60%)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 / campaign (unlimited attempts)</w:t>
            </w:r>
          </w:p>
        </w:tc>
        <w:tc>
          <w:tcPr>
            <w:tcW w:type="dxa" w:w="41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p(pass) 0.40 × E[funded $913] − fee $95 = +$266/attempt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DSR (n_trials 15–40)</w:t>
            </w:r>
          </w:p>
        </w:tc>
        <w:tc>
          <w:tcPr>
            <w:tcW w:type="dxa" w:w="41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Sharpe ~0.9–1.1 vs E[maxSR] 1.8–2.2 → DSR ≈ 0.00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/>
      </w:pP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7.1 The DSR-vs-WF tension (central audit item)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For a DATA-MINED alpha, the DSR is the correct gate and DSR≈0 = NO-GO.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For a STRUCTURAL beta (vol-targeted trend + capitulation, theory-specified, not fished), out-of-sample consistency (WF 5/5) and benchmark-beating + positive EV are arguably more relevant than the DSR's multiple-testing null.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Additional caveats: the capitulation sleeve is thin (N=25); 57% of funded accounts bust within a year (E[funded] is carried by survivors); MaxDD −17% still exceeds the 10% barrier so sizing must be conservative. None of these are hidden.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Honest Verdict &amp; Limitations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programme produced a genuine two-sleeve BTC book: Sharpe 1.13, MaxDD −17%, p(pass) 46%, EV-positive, WF-robust. It is the best result of the wider project. It does NOT clear the DSR — by the strict multiple-testing standard the team applied to the month-end sleeve, it is a NO-GO; by an OOS-consistency/EV standard for a beta book, it is a marginal GO. That judgment is deliberately left to the team.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Structural limitation: BTC-only provides only two good decorrelated sleeves, so the book Sharpe is capped near 1.1–1.2 — below the DSR bar. Beating the DSR requires MORE good, decorrelated sleeves than a single asset can offer.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Path Forward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Cross-asset extension (recommended): apply the working recipe (vol-targeted trend + capitulation) to INDICES and GOLD (US100/US500/GER40/XAU — data already on disk, not new data). These are genuinely decorrelated from crypto (unlike other cryptos, which co-move ≈ one bet). A multi-asset trend+capitulation book (a CTA-class strategy) is the mathematically sound route to Sharpe ~1.5+ and a possible DSR pass.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Alternatively, finalize the two-sleeve BTC book as a personal/book allocation with the DSR/WF debate documented — not as a fast challenge engine.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Deferred: HMM/change-point regime models (only if they beat the transparent baseline OOS); funding/DVOL as leading transition indicators.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Reproduction &amp; Glossary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All results reproduce from Binance daily BTC + the FTMO Swing cost model above, via the session scripts in outputs/btc_intraday_ftmo/ and the path-aware barrier engine (ftmo_barrier.py). Full chronological ledger with every spec: N_ledger.md.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Sharpe</w:t>
            </w:r>
          </w:p>
        </w:tc>
        <w:tc>
          <w:tcPr>
            <w:tcW w:type="dxa" w:w="6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Annualized (√365) risk-adjusted return of the daily strategy series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DSR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Deflated Sharpe Ratio — Sharpe corrected for non-normality and number of strategies tried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Walk-forward</w:t>
            </w:r>
          </w:p>
        </w:tc>
        <w:tc>
          <w:tcPr>
            <w:tcW w:type="dxa" w:w="6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Out-of-sample check across 5 sequential folds; &gt;60% positive required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p(pass)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Probability of completing both FTMO phases without breaching (path-aware barrier engine)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Vol-targeting</w:t>
            </w:r>
          </w:p>
        </w:tc>
        <w:tc>
          <w:tcPr>
            <w:tcW w:type="dxa" w:w="6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Scaling exposure inversely to predicted volatility → bounded daily P&amp;L, smaller drawdown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Capitulation sleeve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 the mean-reversion bounce after a deep multi-day flush; short hold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Prepared for internal audit. All figures reproducible from the cited code and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2026-07-12T21:55:24.516Z</dcterms:created>
  <dcterms:modified xsi:type="dcterms:W3CDTF">2026-07-12T21:55:24.534Z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