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511" w:rsidRPr="005C0DE7" w:rsidRDefault="005D0410" w:rsidP="004331E7">
      <w:pPr>
        <w:jc w:val="both"/>
        <w:rPr>
          <w:rFonts w:ascii="Times New Roman" w:hAnsi="Times New Roman" w:cs="Times New Roman"/>
        </w:rPr>
      </w:pPr>
      <w:r w:rsidRPr="005C0DE7">
        <w:rPr>
          <w:rFonts w:ascii="Times New Roman" w:hAnsi="Times New Roman" w:cs="Times New Roman"/>
        </w:rPr>
        <w:t>DURET Guillaume</w:t>
      </w:r>
      <w:r w:rsidRPr="005C0DE7">
        <w:rPr>
          <w:rFonts w:ascii="Times New Roman" w:hAnsi="Times New Roman" w:cs="Times New Roman"/>
        </w:rPr>
        <w:tab/>
      </w:r>
      <w:r w:rsidRPr="005C0DE7">
        <w:rPr>
          <w:rFonts w:ascii="Times New Roman" w:hAnsi="Times New Roman" w:cs="Times New Roman"/>
        </w:rPr>
        <w:tab/>
      </w:r>
      <w:r w:rsidRPr="005C0DE7">
        <w:rPr>
          <w:rFonts w:ascii="Times New Roman" w:hAnsi="Times New Roman" w:cs="Times New Roman"/>
        </w:rPr>
        <w:tab/>
      </w:r>
      <w:r w:rsidRPr="005C0DE7">
        <w:rPr>
          <w:rFonts w:ascii="Times New Roman" w:hAnsi="Times New Roman" w:cs="Times New Roman"/>
        </w:rPr>
        <w:tab/>
      </w:r>
      <w:r w:rsidRPr="005C0DE7">
        <w:rPr>
          <w:rFonts w:ascii="Times New Roman" w:hAnsi="Times New Roman" w:cs="Times New Roman"/>
        </w:rPr>
        <w:tab/>
      </w:r>
      <w:r w:rsidRPr="005C0DE7">
        <w:rPr>
          <w:rFonts w:ascii="Times New Roman" w:hAnsi="Times New Roman" w:cs="Times New Roman"/>
        </w:rPr>
        <w:tab/>
      </w:r>
      <w:r w:rsidRPr="005C0DE7">
        <w:rPr>
          <w:rFonts w:ascii="Times New Roman" w:hAnsi="Times New Roman" w:cs="Times New Roman"/>
        </w:rPr>
        <w:tab/>
      </w:r>
      <w:r w:rsidRPr="005C0DE7">
        <w:rPr>
          <w:rFonts w:ascii="Times New Roman" w:hAnsi="Times New Roman" w:cs="Times New Roman"/>
        </w:rPr>
        <w:tab/>
        <w:t>5ETI majeure IMI</w:t>
      </w:r>
    </w:p>
    <w:p w:rsidR="005D0410" w:rsidRPr="005C0DE7" w:rsidRDefault="005D0410" w:rsidP="004331E7">
      <w:pPr>
        <w:jc w:val="both"/>
        <w:rPr>
          <w:rFonts w:ascii="Times New Roman" w:hAnsi="Times New Roman" w:cs="Times New Roman"/>
        </w:rPr>
      </w:pPr>
      <w:r w:rsidRPr="005C0DE7">
        <w:rPr>
          <w:rFonts w:ascii="Times New Roman" w:hAnsi="Times New Roman" w:cs="Times New Roman"/>
        </w:rPr>
        <w:t>BRALET Antoine</w:t>
      </w: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center"/>
        <w:rPr>
          <w:rFonts w:ascii="Times New Roman" w:hAnsi="Times New Roman" w:cs="Times New Roman"/>
          <w:sz w:val="52"/>
        </w:rPr>
      </w:pPr>
      <w:r w:rsidRPr="005C0DE7">
        <w:rPr>
          <w:rFonts w:ascii="Times New Roman" w:hAnsi="Times New Roman" w:cs="Times New Roman"/>
          <w:sz w:val="52"/>
        </w:rPr>
        <w:t>Compte Rendu du TP d’Estimation</w:t>
      </w:r>
    </w:p>
    <w:p w:rsidR="0042717E" w:rsidRPr="005C0DE7" w:rsidRDefault="0042717E" w:rsidP="004331E7">
      <w:pPr>
        <w:jc w:val="center"/>
        <w:rPr>
          <w:rFonts w:ascii="Times New Roman" w:hAnsi="Times New Roman" w:cs="Times New Roman"/>
          <w:sz w:val="40"/>
        </w:rPr>
      </w:pPr>
      <w:r w:rsidRPr="005C0DE7">
        <w:rPr>
          <w:rFonts w:ascii="Times New Roman" w:hAnsi="Times New Roman" w:cs="Times New Roman"/>
          <w:sz w:val="40"/>
        </w:rPr>
        <w:t xml:space="preserve">Inférence </w:t>
      </w:r>
      <w:proofErr w:type="spellStart"/>
      <w:r w:rsidRPr="005C0DE7">
        <w:rPr>
          <w:rFonts w:ascii="Times New Roman" w:hAnsi="Times New Roman" w:cs="Times New Roman"/>
          <w:sz w:val="40"/>
        </w:rPr>
        <w:t>Bayesienne</w:t>
      </w:r>
      <w:proofErr w:type="spellEnd"/>
      <w:r w:rsidRPr="005C0DE7">
        <w:rPr>
          <w:rFonts w:ascii="Times New Roman" w:hAnsi="Times New Roman" w:cs="Times New Roman"/>
          <w:sz w:val="40"/>
        </w:rPr>
        <w:t xml:space="preserve"> et Monte-Carlo Markov Chain</w:t>
      </w: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Default="0042717E" w:rsidP="004331E7">
      <w:pPr>
        <w:jc w:val="both"/>
        <w:rPr>
          <w:rFonts w:ascii="Times New Roman" w:hAnsi="Times New Roman" w:cs="Times New Roman"/>
        </w:rPr>
      </w:pPr>
    </w:p>
    <w:p w:rsidR="00AD5486" w:rsidRDefault="00AD5486" w:rsidP="004331E7">
      <w:pPr>
        <w:jc w:val="both"/>
        <w:rPr>
          <w:rFonts w:ascii="Times New Roman" w:hAnsi="Times New Roman" w:cs="Times New Roman"/>
        </w:rPr>
      </w:pPr>
    </w:p>
    <w:p w:rsidR="00AD5486" w:rsidRDefault="00AD5486" w:rsidP="004331E7">
      <w:pPr>
        <w:jc w:val="both"/>
        <w:rPr>
          <w:rFonts w:ascii="Times New Roman" w:hAnsi="Times New Roman" w:cs="Times New Roman"/>
        </w:rPr>
      </w:pPr>
    </w:p>
    <w:p w:rsidR="00AD5486" w:rsidRPr="005C0DE7" w:rsidRDefault="00AD5486"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p>
    <w:p w:rsidR="0042717E" w:rsidRPr="005C0DE7" w:rsidRDefault="0042717E" w:rsidP="004331E7">
      <w:pPr>
        <w:jc w:val="both"/>
        <w:rPr>
          <w:rFonts w:ascii="Times New Roman" w:hAnsi="Times New Roman" w:cs="Times New Roman"/>
        </w:rPr>
      </w:pPr>
      <w:r w:rsidRPr="005C0DE7">
        <w:rPr>
          <w:rFonts w:ascii="Times New Roman" w:hAnsi="Times New Roman" w:cs="Times New Roman"/>
        </w:rPr>
        <w:t>Année 2020-2021</w:t>
      </w:r>
    </w:p>
    <w:p w:rsidR="00821B13" w:rsidRPr="005C0DE7" w:rsidRDefault="00821B13" w:rsidP="004331E7">
      <w:pPr>
        <w:jc w:val="both"/>
        <w:rPr>
          <w:rFonts w:ascii="Times New Roman" w:hAnsi="Times New Roman" w:cs="Times New Roman"/>
        </w:rPr>
      </w:pPr>
      <w:r w:rsidRPr="005C0DE7">
        <w:rPr>
          <w:rFonts w:ascii="Times New Roman" w:hAnsi="Times New Roman" w:cs="Times New Roman"/>
        </w:rPr>
        <w:lastRenderedPageBreak/>
        <w:t>I. Introduction</w:t>
      </w:r>
    </w:p>
    <w:p w:rsidR="00821B13" w:rsidRPr="005C0DE7" w:rsidRDefault="00821B13" w:rsidP="004331E7">
      <w:pPr>
        <w:jc w:val="both"/>
        <w:rPr>
          <w:rFonts w:ascii="Times New Roman" w:hAnsi="Times New Roman" w:cs="Times New Roman"/>
        </w:rPr>
      </w:pPr>
    </w:p>
    <w:p w:rsidR="00821B13" w:rsidRDefault="00313DFB" w:rsidP="004331E7">
      <w:pPr>
        <w:jc w:val="both"/>
        <w:rPr>
          <w:rFonts w:ascii="Times New Roman" w:eastAsiaTheme="minorEastAsia" w:hAnsi="Times New Roman" w:cs="Times New Roman"/>
        </w:rPr>
      </w:pPr>
      <w:r>
        <w:rPr>
          <w:rFonts w:ascii="Times New Roman" w:hAnsi="Times New Roman" w:cs="Times New Roman"/>
        </w:rPr>
        <w:tab/>
      </w:r>
      <w:r w:rsidR="005C0DE7" w:rsidRPr="005C0DE7">
        <w:rPr>
          <w:rFonts w:ascii="Times New Roman" w:hAnsi="Times New Roman" w:cs="Times New Roman"/>
        </w:rPr>
        <w:t>Ce rapport vise à rapporter les résultats des expérimentations menées en Travaux Pratique (TP) le 7 octobre 2020. L’objectif de ce TP était de mettre en place</w:t>
      </w:r>
      <w:r w:rsidR="005C0DE7">
        <w:rPr>
          <w:rFonts w:ascii="Times New Roman" w:hAnsi="Times New Roman" w:cs="Times New Roman"/>
        </w:rPr>
        <w:t xml:space="preserve"> l’algorithme de </w:t>
      </w:r>
      <w:proofErr w:type="spellStart"/>
      <w:r w:rsidR="005C0DE7">
        <w:rPr>
          <w:rFonts w:ascii="Times New Roman" w:hAnsi="Times New Roman" w:cs="Times New Roman"/>
        </w:rPr>
        <w:t>Metropolis</w:t>
      </w:r>
      <w:proofErr w:type="spellEnd"/>
      <w:r w:rsidR="005C0DE7">
        <w:rPr>
          <w:rFonts w:ascii="Times New Roman" w:hAnsi="Times New Roman" w:cs="Times New Roman"/>
        </w:rPr>
        <w:t>-Hastings à l’aide</w:t>
      </w:r>
      <w:r w:rsidR="005C0DE7" w:rsidRPr="005C0DE7">
        <w:rPr>
          <w:rFonts w:ascii="Times New Roman" w:hAnsi="Times New Roman" w:cs="Times New Roman"/>
        </w:rPr>
        <w:t xml:space="preserve"> </w:t>
      </w:r>
      <w:r w:rsidR="005C0DE7">
        <w:rPr>
          <w:rFonts w:ascii="Times New Roman" w:hAnsi="Times New Roman" w:cs="Times New Roman"/>
        </w:rPr>
        <w:t>d’</w:t>
      </w:r>
      <w:r w:rsidR="005C0DE7" w:rsidRPr="005C0DE7">
        <w:rPr>
          <w:rFonts w:ascii="Times New Roman" w:hAnsi="Times New Roman" w:cs="Times New Roman"/>
        </w:rPr>
        <w:t xml:space="preserve">une chaine de Monte-Carlo Markov permettant de simuler une marche aléatoire. En effet, en considérant une loi cible </w:t>
      </w:r>
      <m:oMath>
        <m:r>
          <w:rPr>
            <w:rFonts w:ascii="Cambria Math" w:hAnsi="Cambria Math" w:cs="Times New Roman"/>
          </w:rPr>
          <m:t>f</m:t>
        </m:r>
        <m:r>
          <w:rPr>
            <w:rFonts w:ascii="Cambria Math" w:eastAsiaTheme="minorEastAsia" w:hAnsi="Cambria Math" w:cs="Times New Roman"/>
          </w:rPr>
          <m:t>(x)</m:t>
        </m:r>
      </m:oMath>
      <w:r w:rsidR="005C0DE7" w:rsidRPr="005C0DE7">
        <w:rPr>
          <w:rFonts w:ascii="Times New Roman" w:eastAsiaTheme="minorEastAsia" w:hAnsi="Times New Roman" w:cs="Times New Roman"/>
        </w:rPr>
        <w:t xml:space="preserve"> dont un paramètre </w:t>
      </w:r>
      <m:oMath>
        <m:r>
          <w:rPr>
            <w:rFonts w:ascii="Cambria Math" w:eastAsiaTheme="minorEastAsia" w:hAnsi="Cambria Math" w:cs="Times New Roman"/>
          </w:rPr>
          <m:t>x</m:t>
        </m:r>
      </m:oMath>
      <w:r w:rsidR="005C0DE7" w:rsidRPr="005C0DE7">
        <w:rPr>
          <w:rFonts w:ascii="Times New Roman" w:eastAsiaTheme="minorEastAsia" w:hAnsi="Times New Roman" w:cs="Times New Roman"/>
        </w:rPr>
        <w:t xml:space="preserve"> est inconnu, </w:t>
      </w:r>
      <w:r w:rsidR="005C0DE7">
        <w:rPr>
          <w:rFonts w:ascii="Times New Roman" w:eastAsiaTheme="minorEastAsia" w:hAnsi="Times New Roman" w:cs="Times New Roman"/>
        </w:rPr>
        <w:t xml:space="preserve">on cherche ici à trouver une série </w:t>
      </w: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t</m:t>
                </m:r>
              </m:e>
            </m:d>
          </m:sup>
        </m:sSup>
        <m:r>
          <w:rPr>
            <w:rFonts w:ascii="Cambria Math" w:eastAsiaTheme="minorEastAsia" w:hAnsi="Cambria Math" w:cs="Times New Roman"/>
          </w:rPr>
          <m:t>)</m:t>
        </m:r>
      </m:oMath>
      <w:r w:rsidR="005C0DE7">
        <w:rPr>
          <w:rFonts w:ascii="Times New Roman" w:eastAsiaTheme="minorEastAsia" w:hAnsi="Times New Roman" w:cs="Times New Roman"/>
        </w:rPr>
        <w:t xml:space="preserve"> identiquement distribuée selon cette loi cible. </w:t>
      </w:r>
      <w:r w:rsidR="000F4AF9">
        <w:rPr>
          <w:rFonts w:ascii="Times New Roman" w:eastAsiaTheme="minorEastAsia" w:hAnsi="Times New Roman" w:cs="Times New Roman"/>
        </w:rPr>
        <w:t xml:space="preserve">Ne sachant pas mettre en place une telle série, nous utilisons alors une loi dite de proposition </w:t>
      </w:r>
      <m:oMath>
        <m:r>
          <w:rPr>
            <w:rFonts w:ascii="Cambria Math" w:eastAsiaTheme="minorEastAsia" w:hAnsi="Cambria Math" w:cs="Times New Roman"/>
          </w:rPr>
          <m:t>g(x)</m:t>
        </m:r>
      </m:oMath>
      <w:r w:rsidR="000F4AF9">
        <w:rPr>
          <w:rFonts w:ascii="Times New Roman" w:eastAsiaTheme="minorEastAsia" w:hAnsi="Times New Roman" w:cs="Times New Roman"/>
        </w:rPr>
        <w:t xml:space="preserve"> dont une série identiquement distribuée est facile à obtenir et telle que pour un </w:t>
      </w:r>
      <m:oMath>
        <m:r>
          <w:rPr>
            <w:rFonts w:ascii="Cambria Math" w:eastAsiaTheme="minorEastAsia" w:hAnsi="Cambria Math" w:cs="Times New Roman"/>
          </w:rPr>
          <m:t>x</m:t>
        </m:r>
      </m:oMath>
      <w:r w:rsidR="000F4AF9">
        <w:rPr>
          <w:rFonts w:ascii="Times New Roman" w:eastAsiaTheme="minorEastAsia" w:hAnsi="Times New Roman" w:cs="Times New Roman"/>
        </w:rPr>
        <w:t xml:space="preserve"> donné,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
          <w:rPr>
            <w:rFonts w:ascii="Cambria Math" w:eastAsiaTheme="minorEastAsia" w:hAnsi="Cambria Math" w:cs="Times New Roman"/>
          </w:rPr>
          <m:t>f(x)</m:t>
        </m:r>
      </m:oMath>
      <w:r w:rsidR="008D2F87">
        <w:rPr>
          <w:rFonts w:ascii="Times New Roman" w:eastAsiaTheme="minorEastAsia" w:hAnsi="Times New Roman" w:cs="Times New Roman"/>
        </w:rPr>
        <w:t>.</w:t>
      </w:r>
      <w:r w:rsidR="00AD5486">
        <w:rPr>
          <w:rFonts w:ascii="Times New Roman" w:eastAsiaTheme="minorEastAsia" w:hAnsi="Times New Roman" w:cs="Times New Roman"/>
        </w:rPr>
        <w:t xml:space="preserve"> Ainsi puisque la fonction </w:t>
      </w:r>
      <m:oMath>
        <m:r>
          <w:rPr>
            <w:rFonts w:ascii="Cambria Math" w:eastAsiaTheme="minorEastAsia" w:hAnsi="Cambria Math" w:cs="Times New Roman"/>
          </w:rPr>
          <m:t>g</m:t>
        </m:r>
      </m:oMath>
      <w:r w:rsidR="00AD5486">
        <w:rPr>
          <w:rFonts w:ascii="Times New Roman" w:eastAsiaTheme="minorEastAsia" w:hAnsi="Times New Roman" w:cs="Times New Roman"/>
        </w:rPr>
        <w:t xml:space="preserve"> englobe complètement la fonction </w:t>
      </w:r>
      <m:oMath>
        <m:r>
          <w:rPr>
            <w:rFonts w:ascii="Cambria Math" w:eastAsiaTheme="minorEastAsia" w:hAnsi="Cambria Math" w:cs="Times New Roman"/>
          </w:rPr>
          <m:t>f</m:t>
        </m:r>
      </m:oMath>
      <w:r w:rsidR="00AD5486">
        <w:rPr>
          <w:rFonts w:ascii="Times New Roman" w:eastAsiaTheme="minorEastAsia" w:hAnsi="Times New Roman" w:cs="Times New Roman"/>
        </w:rPr>
        <w:t xml:space="preserve">, si l’on considère la série </w:t>
      </w: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t</m:t>
                </m:r>
              </m:e>
            </m:d>
          </m:sup>
        </m:sSup>
        <m:r>
          <w:rPr>
            <w:rFonts w:ascii="Cambria Math" w:eastAsiaTheme="minorEastAsia" w:hAnsi="Cambria Math" w:cs="Times New Roman"/>
          </w:rPr>
          <m:t>)</m:t>
        </m:r>
      </m:oMath>
      <w:r w:rsidR="00AD5486">
        <w:rPr>
          <w:rFonts w:ascii="Times New Roman" w:eastAsiaTheme="minorEastAsia" w:hAnsi="Times New Roman" w:cs="Times New Roman"/>
        </w:rPr>
        <w:t xml:space="preserve"> issue de </w:t>
      </w:r>
      <m:oMath>
        <m:r>
          <w:rPr>
            <w:rFonts w:ascii="Cambria Math" w:eastAsiaTheme="minorEastAsia" w:hAnsi="Cambria Math" w:cs="Times New Roman"/>
          </w:rPr>
          <m:t>g</m:t>
        </m:r>
      </m:oMath>
      <w:r w:rsidR="00AD5486">
        <w:rPr>
          <w:rFonts w:ascii="Times New Roman" w:eastAsiaTheme="minorEastAsia" w:hAnsi="Times New Roman" w:cs="Times New Roman"/>
        </w:rPr>
        <w:t xml:space="preserve"> et identiquement distribuée, n’importe quelle sous-série est également identiquement distribuée dans la zone quelle occupe. C’est pourquoi si l’on ne considère que la sous-série dont les valeurs sont comprises dans la zone occupée par </w:t>
      </w:r>
      <m:oMath>
        <m:r>
          <w:rPr>
            <w:rFonts w:ascii="Cambria Math" w:eastAsiaTheme="minorEastAsia" w:hAnsi="Cambria Math" w:cs="Times New Roman"/>
          </w:rPr>
          <m:t>f</m:t>
        </m:r>
      </m:oMath>
      <w:r w:rsidR="00AD5486">
        <w:rPr>
          <w:rFonts w:ascii="Times New Roman" w:eastAsiaTheme="minorEastAsia" w:hAnsi="Times New Roman" w:cs="Times New Roman"/>
        </w:rPr>
        <w:t>, cette sous-série peut être considérée comme identiquement distribuée. La figure suivante permet d’illustrer ces propos :</w:t>
      </w:r>
    </w:p>
    <w:p w:rsidR="00F86944" w:rsidRDefault="00F86944" w:rsidP="004331E7">
      <w:pPr>
        <w:jc w:val="both"/>
        <w:rPr>
          <w:rFonts w:ascii="Times New Roman" w:eastAsiaTheme="minorEastAsia"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172720</wp:posOffset>
            </wp:positionV>
            <wp:extent cx="3347720" cy="1771015"/>
            <wp:effectExtent l="0" t="0" r="508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10-11 à 10.16.01.png"/>
                    <pic:cNvPicPr/>
                  </pic:nvPicPr>
                  <pic:blipFill>
                    <a:blip r:embed="rId5">
                      <a:extLst>
                        <a:ext uri="{28A0092B-C50C-407E-A947-70E740481C1C}">
                          <a14:useLocalDpi xmlns:a14="http://schemas.microsoft.com/office/drawing/2010/main" val="0"/>
                        </a:ext>
                      </a:extLst>
                    </a:blip>
                    <a:stretch>
                      <a:fillRect/>
                    </a:stretch>
                  </pic:blipFill>
                  <pic:spPr>
                    <a:xfrm>
                      <a:off x="0" y="0"/>
                      <a:ext cx="3347720" cy="1771015"/>
                    </a:xfrm>
                    <a:prstGeom prst="rect">
                      <a:avLst/>
                    </a:prstGeom>
                  </pic:spPr>
                </pic:pic>
              </a:graphicData>
            </a:graphic>
            <wp14:sizeRelH relativeFrom="page">
              <wp14:pctWidth>0</wp14:pctWidth>
            </wp14:sizeRelH>
            <wp14:sizeRelV relativeFrom="page">
              <wp14:pctHeight>0</wp14:pctHeight>
            </wp14:sizeRelV>
          </wp:anchor>
        </w:drawing>
      </w:r>
    </w:p>
    <w:p w:rsidR="00AD5486" w:rsidRDefault="00AD5486" w:rsidP="004331E7">
      <w:pPr>
        <w:jc w:val="both"/>
        <w:rPr>
          <w:rFonts w:ascii="Times New Roman" w:hAnsi="Times New Roman" w:cs="Times New Roman"/>
        </w:rPr>
      </w:pPr>
    </w:p>
    <w:p w:rsidR="00F86944" w:rsidRDefault="00F86944" w:rsidP="004331E7">
      <w:pPr>
        <w:jc w:val="both"/>
        <w:rPr>
          <w:rFonts w:ascii="Times New Roman" w:hAnsi="Times New Roman" w:cs="Times New Roman"/>
          <w:u w:val="single"/>
        </w:rPr>
      </w:pPr>
    </w:p>
    <w:p w:rsidR="00F86944" w:rsidRDefault="00F86944" w:rsidP="004331E7">
      <w:pPr>
        <w:jc w:val="both"/>
        <w:rPr>
          <w:rFonts w:ascii="Times New Roman" w:hAnsi="Times New Roman" w:cs="Times New Roman"/>
          <w:u w:val="single"/>
        </w:rPr>
      </w:pPr>
    </w:p>
    <w:p w:rsidR="00F86944" w:rsidRDefault="00F86944" w:rsidP="004331E7">
      <w:pPr>
        <w:jc w:val="both"/>
        <w:rPr>
          <w:rFonts w:ascii="Times New Roman" w:hAnsi="Times New Roman" w:cs="Times New Roman"/>
          <w:u w:val="single"/>
        </w:rPr>
      </w:pPr>
    </w:p>
    <w:p w:rsidR="00AD5486" w:rsidRPr="00F86944" w:rsidRDefault="00F86944" w:rsidP="004331E7">
      <w:pPr>
        <w:jc w:val="center"/>
        <w:rPr>
          <w:rFonts w:ascii="Times New Roman" w:hAnsi="Times New Roman" w:cs="Times New Roman"/>
          <w:u w:val="single"/>
        </w:rPr>
      </w:pPr>
      <w:r w:rsidRPr="00F86944">
        <w:rPr>
          <w:rFonts w:ascii="Times New Roman" w:hAnsi="Times New Roman" w:cs="Times New Roman"/>
          <w:u w:val="single"/>
        </w:rPr>
        <w:t xml:space="preserve">Illustration de la création d’une série identiquement distribuée selon </w:t>
      </w:r>
      <m:oMath>
        <m:r>
          <w:rPr>
            <w:rFonts w:ascii="Cambria Math" w:hAnsi="Cambria Math" w:cs="Times New Roman"/>
            <w:u w:val="single"/>
          </w:rPr>
          <m:t>f</m:t>
        </m:r>
      </m:oMath>
    </w:p>
    <w:p w:rsidR="00821B13" w:rsidRDefault="00821B13" w:rsidP="004331E7">
      <w:pPr>
        <w:jc w:val="both"/>
        <w:rPr>
          <w:rFonts w:ascii="Times New Roman" w:hAnsi="Times New Roman" w:cs="Times New Roman"/>
        </w:rPr>
      </w:pPr>
    </w:p>
    <w:p w:rsidR="00F86944" w:rsidRPr="00F86944" w:rsidRDefault="00F86944" w:rsidP="004331E7">
      <w:pPr>
        <w:pStyle w:val="Paragraphedeliste"/>
        <w:ind w:left="1080"/>
        <w:jc w:val="both"/>
        <w:rPr>
          <w:rFonts w:ascii="Times New Roman" w:hAnsi="Times New Roman" w:cs="Times New Roman"/>
        </w:rPr>
      </w:pPr>
    </w:p>
    <w:p w:rsidR="00F86944" w:rsidRDefault="00F86944" w:rsidP="004331E7">
      <w:pPr>
        <w:jc w:val="both"/>
        <w:rPr>
          <w:rFonts w:ascii="Times New Roman" w:hAnsi="Times New Roman" w:cs="Times New Roman"/>
        </w:rPr>
      </w:pPr>
    </w:p>
    <w:p w:rsidR="00F86944" w:rsidRDefault="00F86944" w:rsidP="004331E7">
      <w:pPr>
        <w:jc w:val="both"/>
        <w:rPr>
          <w:rFonts w:ascii="Times New Roman" w:hAnsi="Times New Roman" w:cs="Times New Roman"/>
        </w:rPr>
      </w:pPr>
    </w:p>
    <w:p w:rsidR="00F86944" w:rsidRDefault="00F86944" w:rsidP="004331E7">
      <w:pPr>
        <w:jc w:val="both"/>
        <w:rPr>
          <w:rFonts w:ascii="Times New Roman" w:hAnsi="Times New Roman" w:cs="Times New Roman"/>
        </w:rPr>
      </w:pPr>
    </w:p>
    <w:p w:rsidR="00F86944" w:rsidRDefault="00313DFB" w:rsidP="004331E7">
      <w:pPr>
        <w:jc w:val="both"/>
        <w:rPr>
          <w:rFonts w:ascii="Times New Roman" w:hAnsi="Times New Roman" w:cs="Times New Roman"/>
        </w:rPr>
      </w:pPr>
      <w:r>
        <w:rPr>
          <w:rFonts w:ascii="Times New Roman" w:hAnsi="Times New Roman" w:cs="Times New Roman"/>
        </w:rPr>
        <w:tab/>
        <w:t xml:space="preserve">Afin de créer cette série intelligemment, nous mettons en place une marche aléatoire de type Monte-Carlo Markov Chain (MCMC) qui consiste à prendre en compte la position de la série au temps </w:t>
      </w:r>
      <m:oMath>
        <m:r>
          <w:rPr>
            <w:rFonts w:ascii="Cambria Math" w:hAnsi="Cambria Math" w:cs="Times New Roman"/>
          </w:rPr>
          <m:t>t</m:t>
        </m:r>
      </m:oMath>
      <w:r>
        <w:rPr>
          <w:rFonts w:ascii="Times New Roman" w:eastAsiaTheme="minorEastAsia" w:hAnsi="Times New Roman" w:cs="Times New Roman"/>
        </w:rPr>
        <w:t xml:space="preserve"> afin de pouvoir déterminer sa position au temps </w:t>
      </w:r>
      <m:oMath>
        <m:r>
          <w:rPr>
            <w:rFonts w:ascii="Cambria Math" w:eastAsiaTheme="minorEastAsia" w:hAnsi="Cambria Math" w:cs="Times New Roman"/>
          </w:rPr>
          <m:t>t+1</m:t>
        </m:r>
      </m:oMath>
      <w:r>
        <w:rPr>
          <w:rFonts w:ascii="Times New Roman" w:eastAsiaTheme="minorEastAsia" w:hAnsi="Times New Roman" w:cs="Times New Roman"/>
        </w:rPr>
        <w:t xml:space="preserve">. </w:t>
      </w:r>
      <w:r w:rsidR="004331E7">
        <w:rPr>
          <w:rFonts w:ascii="Times New Roman" w:eastAsiaTheme="minorEastAsia" w:hAnsi="Times New Roman" w:cs="Times New Roman"/>
        </w:rPr>
        <w:t xml:space="preserve">Ainsi si notre point se trouve bien dans la zone couverte par </w:t>
      </w:r>
      <m:oMath>
        <m:r>
          <w:rPr>
            <w:rFonts w:ascii="Cambria Math" w:eastAsiaTheme="minorEastAsia" w:hAnsi="Cambria Math" w:cs="Times New Roman"/>
          </w:rPr>
          <m:t>f</m:t>
        </m:r>
      </m:oMath>
      <w:r w:rsidR="004331E7">
        <w:rPr>
          <w:rFonts w:ascii="Times New Roman" w:eastAsiaTheme="minorEastAsia" w:hAnsi="Times New Roman" w:cs="Times New Roman"/>
        </w:rPr>
        <w:t xml:space="preserve">, le prochain point créé le sera dans ses environs. Si au contraire, il ne s’y trouve pas, alors on cherchera à faire un plus grand pas de sorte à revenir dans a zone couverte par </w:t>
      </w:r>
      <m:oMath>
        <m:r>
          <w:rPr>
            <w:rFonts w:ascii="Cambria Math" w:eastAsiaTheme="minorEastAsia" w:hAnsi="Cambria Math" w:cs="Times New Roman"/>
          </w:rPr>
          <m:t>f</m:t>
        </m:r>
      </m:oMath>
      <w:r w:rsidR="004331E7">
        <w:rPr>
          <w:rFonts w:ascii="Times New Roman" w:eastAsiaTheme="minorEastAsia" w:hAnsi="Times New Roman" w:cs="Times New Roman"/>
        </w:rPr>
        <w:t xml:space="preserve">. </w:t>
      </w:r>
      <w:r>
        <w:rPr>
          <w:rFonts w:ascii="Times New Roman" w:eastAsiaTheme="minorEastAsia" w:hAnsi="Times New Roman" w:cs="Times New Roman"/>
        </w:rPr>
        <w:t xml:space="preserve">De plus, l’algorithme de </w:t>
      </w:r>
      <w:proofErr w:type="spellStart"/>
      <w:r>
        <w:rPr>
          <w:rFonts w:ascii="Times New Roman" w:eastAsiaTheme="minorEastAsia" w:hAnsi="Times New Roman" w:cs="Times New Roman"/>
        </w:rPr>
        <w:t>Metropolis</w:t>
      </w:r>
      <w:proofErr w:type="spellEnd"/>
      <w:r>
        <w:rPr>
          <w:rFonts w:ascii="Times New Roman" w:eastAsiaTheme="minorEastAsia" w:hAnsi="Times New Roman" w:cs="Times New Roman"/>
        </w:rPr>
        <w:t xml:space="preserve">-Hastings utilise un </w:t>
      </w:r>
      <w:r w:rsidR="004331E7">
        <w:rPr>
          <w:rFonts w:ascii="Times New Roman" w:eastAsiaTheme="minorEastAsia" w:hAnsi="Times New Roman" w:cs="Times New Roman"/>
        </w:rPr>
        <w:t xml:space="preserve">rapport d’acceptation rejet permettant de sélectionner ou non si un point est conservé pour la série identiquement distribuée selon </w:t>
      </w:r>
      <m:oMath>
        <m:r>
          <w:rPr>
            <w:rFonts w:ascii="Cambria Math" w:eastAsiaTheme="minorEastAsia" w:hAnsi="Cambria Math" w:cs="Times New Roman"/>
          </w:rPr>
          <m:t>f</m:t>
        </m:r>
      </m:oMath>
      <w:r w:rsidR="004331E7">
        <w:rPr>
          <w:rFonts w:ascii="Times New Roman" w:eastAsiaTheme="minorEastAsia" w:hAnsi="Times New Roman" w:cs="Times New Roman"/>
        </w:rPr>
        <w:t xml:space="preserve">. Ce terme permet de ne pas rester bloquer dans des maxima locaux de la fonction </w:t>
      </w:r>
      <m:oMath>
        <m:r>
          <w:rPr>
            <w:rFonts w:ascii="Cambria Math" w:eastAsiaTheme="minorEastAsia" w:hAnsi="Cambria Math" w:cs="Times New Roman"/>
          </w:rPr>
          <m:t>f</m:t>
        </m:r>
      </m:oMath>
      <w:r w:rsidR="004331E7">
        <w:rPr>
          <w:rFonts w:ascii="Times New Roman" w:eastAsiaTheme="minorEastAsia" w:hAnsi="Times New Roman" w:cs="Times New Roman"/>
        </w:rPr>
        <w:t xml:space="preserve"> mais de bien couvrir l’ensemble de cette fonction</w:t>
      </w:r>
      <w:r w:rsidR="000A4C51">
        <w:rPr>
          <w:rFonts w:ascii="Times New Roman" w:eastAsiaTheme="minorEastAsia" w:hAnsi="Times New Roman" w:cs="Times New Roman"/>
        </w:rPr>
        <w:t>.</w:t>
      </w:r>
    </w:p>
    <w:p w:rsidR="00F86944" w:rsidRPr="005C0DE7" w:rsidRDefault="00F86944" w:rsidP="004331E7">
      <w:pPr>
        <w:jc w:val="both"/>
        <w:rPr>
          <w:rFonts w:ascii="Times New Roman" w:hAnsi="Times New Roman" w:cs="Times New Roman"/>
        </w:rPr>
      </w:pPr>
    </w:p>
    <w:p w:rsidR="0042717E" w:rsidRPr="005C0DE7" w:rsidRDefault="004A2A05" w:rsidP="004331E7">
      <w:pPr>
        <w:jc w:val="both"/>
        <w:rPr>
          <w:rFonts w:ascii="Times New Roman" w:hAnsi="Times New Roman" w:cs="Times New Roman"/>
        </w:rPr>
      </w:pPr>
      <w:r w:rsidRPr="005C0DE7">
        <w:rPr>
          <w:rFonts w:ascii="Times New Roman" w:hAnsi="Times New Roman" w:cs="Times New Roman"/>
        </w:rPr>
        <w:t>I</w:t>
      </w:r>
      <w:r w:rsidR="00821B13" w:rsidRPr="005C0DE7">
        <w:rPr>
          <w:rFonts w:ascii="Times New Roman" w:hAnsi="Times New Roman" w:cs="Times New Roman"/>
        </w:rPr>
        <w:t>I</w:t>
      </w:r>
      <w:r w:rsidRPr="005C0DE7">
        <w:rPr>
          <w:rFonts w:ascii="Times New Roman" w:hAnsi="Times New Roman" w:cs="Times New Roman"/>
        </w:rPr>
        <w:t>. Commentaires et explications algorithmiques</w:t>
      </w:r>
    </w:p>
    <w:p w:rsidR="004A2A05" w:rsidRDefault="004A2A05" w:rsidP="004331E7">
      <w:pPr>
        <w:jc w:val="both"/>
        <w:rPr>
          <w:rFonts w:ascii="Times New Roman" w:hAnsi="Times New Roman" w:cs="Times New Roman"/>
        </w:rPr>
      </w:pPr>
    </w:p>
    <w:p w:rsidR="00056DF4" w:rsidRDefault="00C10C5F" w:rsidP="004331E7">
      <w:pPr>
        <w:jc w:val="both"/>
        <w:rPr>
          <w:rFonts w:ascii="Times New Roman" w:hAnsi="Times New Roman" w:cs="Times New Roman"/>
        </w:rPr>
      </w:pPr>
      <w:r>
        <w:rPr>
          <w:rFonts w:ascii="Times New Roman" w:hAnsi="Times New Roman" w:cs="Times New Roman"/>
        </w:rPr>
        <w:tab/>
        <w:t xml:space="preserve">L’algorithme mis en place lors de ce TP se trouve essentiellement dans la fonction </w:t>
      </w:r>
      <w:proofErr w:type="spellStart"/>
      <w:r>
        <w:rPr>
          <w:rFonts w:ascii="Times New Roman" w:hAnsi="Times New Roman" w:cs="Times New Roman"/>
        </w:rPr>
        <w:t>MetroHast.m</w:t>
      </w:r>
      <w:proofErr w:type="spellEnd"/>
      <w:r>
        <w:rPr>
          <w:rFonts w:ascii="Times New Roman" w:hAnsi="Times New Roman" w:cs="Times New Roman"/>
        </w:rPr>
        <w:t xml:space="preserve">. Néanmoins, pour pouvoir exécuter l’algorithme il faut choisir les paramètres dans le fichier </w:t>
      </w:r>
      <w:proofErr w:type="spellStart"/>
      <w:r>
        <w:rPr>
          <w:rFonts w:ascii="Times New Roman" w:hAnsi="Times New Roman" w:cs="Times New Roman"/>
        </w:rPr>
        <w:t>mainEstimation.m</w:t>
      </w:r>
      <w:proofErr w:type="spellEnd"/>
      <w:r>
        <w:rPr>
          <w:rFonts w:ascii="Times New Roman" w:hAnsi="Times New Roman" w:cs="Times New Roman"/>
        </w:rPr>
        <w:t xml:space="preserve"> et exécuter ce dernier. </w:t>
      </w:r>
    </w:p>
    <w:p w:rsidR="009A0358" w:rsidRDefault="00056DF4" w:rsidP="004331E7">
      <w:pPr>
        <w:jc w:val="both"/>
        <w:rPr>
          <w:rFonts w:ascii="Times New Roman" w:hAnsi="Times New Roman" w:cs="Times New Roman"/>
        </w:rPr>
      </w:pPr>
      <w:r>
        <w:rPr>
          <w:rFonts w:ascii="Times New Roman" w:hAnsi="Times New Roman" w:cs="Times New Roman"/>
        </w:rPr>
        <w:tab/>
        <w:t>Dans un premier nous considérons la loi BETA de paramètre a = 0.5 et b = 0.5 comme étant la loi cible et une loi normale centrée réduite comme loi de proposition.</w:t>
      </w:r>
      <w:r w:rsidR="00CB7163">
        <w:rPr>
          <w:rFonts w:ascii="Times New Roman" w:hAnsi="Times New Roman" w:cs="Times New Roman"/>
        </w:rPr>
        <w:t xml:space="preserve"> Pour obtenir les résultats de cette expérience, il est important que la variable </w:t>
      </w:r>
      <w:r w:rsidR="00431538">
        <w:rPr>
          <w:rFonts w:ascii="Times New Roman" w:hAnsi="Times New Roman" w:cs="Times New Roman"/>
        </w:rPr>
        <w:t>« </w:t>
      </w:r>
      <w:proofErr w:type="spellStart"/>
      <w:r w:rsidR="00CB7163">
        <w:rPr>
          <w:rFonts w:ascii="Times New Roman" w:hAnsi="Times New Roman" w:cs="Times New Roman"/>
        </w:rPr>
        <w:t>loiProp</w:t>
      </w:r>
      <w:proofErr w:type="spellEnd"/>
      <w:r w:rsidR="00431538">
        <w:rPr>
          <w:rFonts w:ascii="Times New Roman" w:hAnsi="Times New Roman" w:cs="Times New Roman"/>
        </w:rPr>
        <w:t> »</w:t>
      </w:r>
      <w:r w:rsidR="00CB7163">
        <w:rPr>
          <w:rFonts w:ascii="Times New Roman" w:hAnsi="Times New Roman" w:cs="Times New Roman"/>
        </w:rPr>
        <w:t xml:space="preserve"> soit placée à 0.</w:t>
      </w:r>
    </w:p>
    <w:p w:rsidR="000A4C51" w:rsidRDefault="009A0358" w:rsidP="004331E7">
      <w:pPr>
        <w:jc w:val="both"/>
        <w:rPr>
          <w:rFonts w:ascii="Times New Roman" w:hAnsi="Times New Roman" w:cs="Times New Roman"/>
        </w:rPr>
      </w:pPr>
      <w:r>
        <w:rPr>
          <w:rFonts w:ascii="Times New Roman" w:hAnsi="Times New Roman" w:cs="Times New Roman"/>
        </w:rPr>
        <w:tab/>
      </w:r>
      <w:r w:rsidR="000A4C51">
        <w:rPr>
          <w:rFonts w:ascii="Times New Roman" w:hAnsi="Times New Roman" w:cs="Times New Roman"/>
        </w:rPr>
        <w:t xml:space="preserve">Il est notable que lors du calcul du rapport d’acceptation-rejet : </w:t>
      </w:r>
    </w:p>
    <w:p w:rsidR="000A4C51" w:rsidRDefault="000A4C51" w:rsidP="004331E7">
      <w:pPr>
        <w:jc w:val="both"/>
        <w:rPr>
          <w:rFonts w:ascii="Times New Roman" w:hAnsi="Times New Roman" w:cs="Times New Roman"/>
        </w:rPr>
      </w:pPr>
      <m:oMathPara>
        <m:oMath>
          <m:r>
            <w:rPr>
              <w:rFonts w:ascii="Cambria Math" w:hAnsi="Cambria Math" w:cs="Times New Roman"/>
            </w:rPr>
            <m:t>α(</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cand)</m:t>
              </m:r>
            </m:sup>
          </m:sSup>
          <m:r>
            <w:rPr>
              <w:rFonts w:ascii="Cambria Math"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cand</m:t>
                      </m:r>
                    </m:sup>
                  </m:sSup>
                </m:e>
              </m:d>
            </m:num>
            <m:den>
              <m:r>
                <w:rPr>
                  <w:rFonts w:ascii="Cambria Math" w:eastAsiaTheme="minorEastAsia" w:hAnsi="Cambria Math" w:cs="Times New Roman"/>
                </w:rPr>
                <m:t>f</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e>
              </m:d>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g(</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cand</m:t>
                  </m:r>
                </m:sup>
              </m:sSup>
              <m:r>
                <w:rPr>
                  <w:rFonts w:ascii="Cambria Math" w:eastAsiaTheme="minorEastAsia" w:hAnsi="Cambria Math" w:cs="Times New Roman"/>
                </w:rPr>
                <m:t>)</m:t>
              </m:r>
            </m:num>
            <m:den>
              <m:r>
                <w:rPr>
                  <w:rFonts w:ascii="Cambria Math" w:eastAsiaTheme="minorEastAsia" w:hAnsi="Cambria Math" w:cs="Times New Roman"/>
                </w:rPr>
                <m:t>g(</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cand</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m:t>
              </m:r>
            </m:den>
          </m:f>
        </m:oMath>
      </m:oMathPara>
    </w:p>
    <w:p w:rsidR="009A0358" w:rsidRDefault="000A4C51" w:rsidP="004331E7">
      <w:pPr>
        <w:jc w:val="both"/>
        <w:rPr>
          <w:rFonts w:ascii="Times New Roman" w:eastAsiaTheme="minorEastAsia" w:hAnsi="Times New Roman" w:cs="Times New Roman"/>
        </w:rPr>
      </w:pPr>
      <w:proofErr w:type="gramStart"/>
      <w:r>
        <w:rPr>
          <w:rFonts w:ascii="Times New Roman" w:hAnsi="Times New Roman" w:cs="Times New Roman"/>
        </w:rPr>
        <w:t>en</w:t>
      </w:r>
      <w:proofErr w:type="gramEnd"/>
      <w:r>
        <w:rPr>
          <w:rFonts w:ascii="Times New Roman" w:hAnsi="Times New Roman" w:cs="Times New Roman"/>
        </w:rPr>
        <w:t xml:space="preserve"> considérant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oMath>
      <w:r>
        <w:rPr>
          <w:rFonts w:ascii="Times New Roman" w:eastAsiaTheme="minorEastAsia" w:hAnsi="Times New Roman" w:cs="Times New Roman"/>
        </w:rPr>
        <w:t xml:space="preserve"> la valeur de la série au temps </w:t>
      </w:r>
      <m:oMath>
        <m:r>
          <w:rPr>
            <w:rFonts w:ascii="Cambria Math" w:eastAsiaTheme="minorEastAsia" w:hAnsi="Cambria Math" w:cs="Times New Roman"/>
          </w:rPr>
          <m:t>t</m:t>
        </m:r>
      </m:oMath>
      <w:r>
        <w:rPr>
          <w:rFonts w:ascii="Times New Roman" w:eastAsiaTheme="minorEastAsia" w:hAnsi="Times New Roman" w:cs="Times New Roman"/>
        </w:rPr>
        <w:t xml:space="preserve"> et </w:t>
      </w:r>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cand</m:t>
            </m:r>
          </m:sup>
        </m:sSup>
      </m:oMath>
      <w:r>
        <w:rPr>
          <w:rFonts w:ascii="Times New Roman" w:eastAsiaTheme="minorEastAsia" w:hAnsi="Times New Roman" w:cs="Times New Roman"/>
        </w:rPr>
        <w:t xml:space="preserve"> la valeur « candidate » pour la série au temps </w:t>
      </w:r>
      <m:oMath>
        <m:r>
          <w:rPr>
            <w:rFonts w:ascii="Cambria Math" w:eastAsiaTheme="minorEastAsia" w:hAnsi="Cambria Math" w:cs="Times New Roman"/>
          </w:rPr>
          <m:t>t+1</m:t>
        </m:r>
      </m:oMath>
      <w:r>
        <w:rPr>
          <w:rFonts w:ascii="Times New Roman" w:hAnsi="Times New Roman" w:cs="Times New Roman"/>
        </w:rPr>
        <w:t xml:space="preserve">, le calcul de </w:t>
      </w:r>
      <m:oMath>
        <m:r>
          <w:rPr>
            <w:rFonts w:ascii="Cambria Math" w:hAnsi="Cambria Math" w:cs="Times New Roman"/>
          </w:rPr>
          <m:t>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cand</m:t>
                </m:r>
              </m:sup>
            </m:sSup>
          </m:e>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e>
        </m:d>
        <m:r>
          <w:rPr>
            <w:rFonts w:ascii="Cambria Math" w:hAnsi="Cambria Math" w:cs="Times New Roman"/>
          </w:rPr>
          <m:t>=g(</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cand</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m:t>
        </m:r>
      </m:oMath>
      <w:r>
        <w:rPr>
          <w:rFonts w:ascii="Times New Roman" w:eastAsiaTheme="minorEastAsia" w:hAnsi="Times New Roman" w:cs="Times New Roman"/>
        </w:rPr>
        <w:t xml:space="preserve"> car nous mettons en place une </w:t>
      </w:r>
      <w:r>
        <w:rPr>
          <w:rFonts w:ascii="Times New Roman" w:eastAsiaTheme="minorEastAsia" w:hAnsi="Times New Roman" w:cs="Times New Roman"/>
        </w:rPr>
        <w:lastRenderedPageBreak/>
        <w:t xml:space="preserve">marche aléatoire. De plus sachant que la fonction </w:t>
      </w:r>
      <m:oMath>
        <m:r>
          <w:rPr>
            <w:rFonts w:ascii="Cambria Math" w:eastAsiaTheme="minorEastAsia" w:hAnsi="Cambria Math" w:cs="Times New Roman"/>
          </w:rPr>
          <m:t>g</m:t>
        </m:r>
      </m:oMath>
      <w:r>
        <w:rPr>
          <w:rFonts w:ascii="Times New Roman" w:eastAsiaTheme="minorEastAsia" w:hAnsi="Times New Roman" w:cs="Times New Roman"/>
        </w:rPr>
        <w:t xml:space="preserve"> </w:t>
      </w:r>
      <w:r w:rsidR="007F43F7">
        <w:rPr>
          <w:rFonts w:ascii="Times New Roman" w:eastAsiaTheme="minorEastAsia" w:hAnsi="Times New Roman" w:cs="Times New Roman"/>
        </w:rPr>
        <w:t>e</w:t>
      </w:r>
      <w:r>
        <w:rPr>
          <w:rFonts w:ascii="Times New Roman" w:eastAsiaTheme="minorEastAsia" w:hAnsi="Times New Roman" w:cs="Times New Roman"/>
        </w:rPr>
        <w:t xml:space="preserve">st symétrique, on a : </w:t>
      </w:r>
      <m:oMath>
        <m:r>
          <w:rPr>
            <w:rFonts w:ascii="Cambria Math" w:eastAsiaTheme="minorEastAsia" w:hAnsi="Cambria Math" w:cs="Times New Roman"/>
          </w:rPr>
          <m:t>g</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cand</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e>
        </m:d>
        <m:r>
          <w:rPr>
            <w:rFonts w:ascii="Cambria Math" w:eastAsiaTheme="minorEastAsia" w:hAnsi="Cambria Math" w:cs="Times New Roman"/>
          </w:rPr>
          <m:t>=g(</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cand</m:t>
            </m:r>
          </m:sup>
        </m:sSup>
        <m:r>
          <w:rPr>
            <w:rFonts w:ascii="Cambria Math" w:eastAsiaTheme="minorEastAsia" w:hAnsi="Cambria Math" w:cs="Times New Roman"/>
          </w:rPr>
          <m:t>)</m:t>
        </m:r>
      </m:oMath>
      <w:r>
        <w:rPr>
          <w:rFonts w:ascii="Times New Roman" w:eastAsiaTheme="minorEastAsia" w:hAnsi="Times New Roman" w:cs="Times New Roman"/>
        </w:rPr>
        <w:t>.</w:t>
      </w:r>
    </w:p>
    <w:p w:rsidR="00C931F9" w:rsidRDefault="00C931F9" w:rsidP="004331E7">
      <w:pPr>
        <w:jc w:val="both"/>
        <w:rPr>
          <w:rFonts w:ascii="Times New Roman" w:hAnsi="Times New Roman" w:cs="Times New Roman"/>
        </w:rPr>
      </w:pPr>
      <w:r>
        <w:rPr>
          <w:rFonts w:ascii="Times New Roman" w:hAnsi="Times New Roman" w:cs="Times New Roman"/>
        </w:rPr>
        <w:tab/>
      </w:r>
    </w:p>
    <w:p w:rsidR="00C931F9" w:rsidRDefault="00C931F9" w:rsidP="004331E7">
      <w:pPr>
        <w:jc w:val="both"/>
        <w:rPr>
          <w:rFonts w:ascii="Times New Roman" w:hAnsi="Times New Roman" w:cs="Times New Roman"/>
        </w:rPr>
      </w:pPr>
      <w:r>
        <w:rPr>
          <w:rFonts w:ascii="Times New Roman" w:hAnsi="Times New Roman" w:cs="Times New Roman"/>
        </w:rPr>
        <w:tab/>
        <w:t xml:space="preserve">Ainsi, en exécutant l’algorithme </w:t>
      </w:r>
      <w:r w:rsidR="0050778A">
        <w:rPr>
          <w:rFonts w:ascii="Times New Roman" w:hAnsi="Times New Roman" w:cs="Times New Roman"/>
        </w:rPr>
        <w:t>avec les paramètres initiaux (« </w:t>
      </w:r>
      <w:proofErr w:type="spellStart"/>
      <w:r w:rsidR="0050778A">
        <w:rPr>
          <w:rFonts w:ascii="Times New Roman" w:hAnsi="Times New Roman" w:cs="Times New Roman"/>
        </w:rPr>
        <w:t>sigq</w:t>
      </w:r>
      <w:proofErr w:type="spellEnd"/>
      <w:r w:rsidR="0050778A">
        <w:rPr>
          <w:rFonts w:ascii="Times New Roman" w:hAnsi="Times New Roman" w:cs="Times New Roman"/>
        </w:rPr>
        <w:t xml:space="preserve"> » = 0.5 et « T » = 10000), il est possible d’observer les figures suivantes : </w:t>
      </w:r>
    </w:p>
    <w:p w:rsidR="00753355" w:rsidRDefault="00753355" w:rsidP="004331E7">
      <w:pPr>
        <w:jc w:val="both"/>
        <w:rPr>
          <w:rFonts w:ascii="Times New Roman" w:hAnsi="Times New Roman" w:cs="Times New Roman"/>
        </w:rPr>
      </w:pPr>
    </w:p>
    <w:p w:rsidR="00753355" w:rsidRDefault="00753355" w:rsidP="00D55041">
      <w:pPr>
        <w:jc w:val="center"/>
        <w:rPr>
          <w:rFonts w:ascii="Times New Roman" w:hAnsi="Times New Roman" w:cs="Times New Roman"/>
        </w:rPr>
      </w:pPr>
      <w:r>
        <w:rPr>
          <w:rFonts w:ascii="Times New Roman" w:hAnsi="Times New Roman" w:cs="Times New Roman"/>
          <w:noProof/>
        </w:rPr>
        <w:drawing>
          <wp:inline distT="0" distB="0" distL="0" distR="0">
            <wp:extent cx="4122262" cy="2267108"/>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10-11 à 12.28.27.png"/>
                    <pic:cNvPicPr/>
                  </pic:nvPicPr>
                  <pic:blipFill>
                    <a:blip r:embed="rId6">
                      <a:extLst>
                        <a:ext uri="{28A0092B-C50C-407E-A947-70E740481C1C}">
                          <a14:useLocalDpi xmlns:a14="http://schemas.microsoft.com/office/drawing/2010/main" val="0"/>
                        </a:ext>
                      </a:extLst>
                    </a:blip>
                    <a:stretch>
                      <a:fillRect/>
                    </a:stretch>
                  </pic:blipFill>
                  <pic:spPr>
                    <a:xfrm>
                      <a:off x="0" y="0"/>
                      <a:ext cx="4147614" cy="2281051"/>
                    </a:xfrm>
                    <a:prstGeom prst="rect">
                      <a:avLst/>
                    </a:prstGeom>
                  </pic:spPr>
                </pic:pic>
              </a:graphicData>
            </a:graphic>
          </wp:inline>
        </w:drawing>
      </w:r>
    </w:p>
    <w:p w:rsidR="00AB57DF" w:rsidRDefault="00AB57DF" w:rsidP="004331E7">
      <w:pPr>
        <w:jc w:val="both"/>
        <w:rPr>
          <w:rFonts w:ascii="Times New Roman" w:hAnsi="Times New Roman" w:cs="Times New Roman"/>
        </w:rPr>
      </w:pPr>
    </w:p>
    <w:p w:rsidR="00C10C5F" w:rsidRDefault="00AB57DF" w:rsidP="004331E7">
      <w:pPr>
        <w:jc w:val="both"/>
        <w:rPr>
          <w:rFonts w:ascii="Times New Roman" w:eastAsiaTheme="minorEastAsia" w:hAnsi="Times New Roman" w:cs="Times New Roman"/>
        </w:rPr>
      </w:pPr>
      <w:r>
        <w:rPr>
          <w:rFonts w:ascii="Times New Roman" w:hAnsi="Times New Roman" w:cs="Times New Roman"/>
        </w:rPr>
        <w:tab/>
        <w:t>Il est possible ici de vérifier sur la figure en bas à gauche que la série créée permet bien de se rapprocher de la fonction cible. Il est également notable que le taux d’acceptation-rejet est de 42,77% ce qui signifie que l’on conserve autant de valeurs candidates que l’on en rejette. Cette balance est importante car si l’on acceptait trop de valeurs, dans ce cas, on suivrait la loi de proposition de beaucoup trop près et l’on ne se rapprocherait pas suffisamment de la loi cible. Au contraire, si l’on rejetait trop de valeurs, on risquerait d’être bloqué dans un maximum local de la fonction cible et l’on ne pourrait pas étudier l’ensemble de la fonction cible. Cette balance est donc particulièrement importante afin d’avoir une étude raisonnable et fiable de la fonction cible.</w:t>
      </w:r>
      <w:r w:rsidR="008D1697">
        <w:rPr>
          <w:rFonts w:ascii="Times New Roman" w:hAnsi="Times New Roman" w:cs="Times New Roman"/>
        </w:rPr>
        <w:t xml:space="preserve"> Ce phénomène peut également être </w:t>
      </w:r>
      <w:r w:rsidR="002A58BA">
        <w:rPr>
          <w:rFonts w:ascii="Times New Roman" w:hAnsi="Times New Roman" w:cs="Times New Roman"/>
        </w:rPr>
        <w:t xml:space="preserve">étudié à l’aide de la fonction d’autocorrélation de la série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t</m:t>
                </m:r>
              </m:e>
            </m:d>
          </m:sup>
        </m:sSup>
        <m:r>
          <w:rPr>
            <w:rFonts w:ascii="Cambria Math" w:hAnsi="Cambria Math" w:cs="Times New Roman"/>
          </w:rPr>
          <m:t>)</m:t>
        </m:r>
      </m:oMath>
      <w:r w:rsidR="00493CE3">
        <w:rPr>
          <w:rFonts w:ascii="Times New Roman" w:eastAsiaTheme="minorEastAsia" w:hAnsi="Times New Roman" w:cs="Times New Roman"/>
        </w:rPr>
        <w:t>. On peut noter ici (en bas à gauche de la figure) que cette fonction d’autocorrélation connait un pic significatif en 0</w:t>
      </w:r>
      <w:r w:rsidR="00113BB8">
        <w:rPr>
          <w:rFonts w:ascii="Times New Roman" w:eastAsiaTheme="minorEastAsia" w:hAnsi="Times New Roman" w:cs="Times New Roman"/>
        </w:rPr>
        <w:t>, ce qui signifie que la série n’est pas du tout corrélée et donc que ses valeurs sont indépendantes les unes des autres. Cette indépendance est particulièrement importante car cela signifie que notre série est bien identiquement distribuée et que son évolution ne dépend en aucun cas de ses valeurs précédentes, phénomène qui permet d’étudier l’ensemble de la fonction cible et non pas seulement une partie de celle-ci. Il est important de rappeler ici que seule la partie centrale de la fonction d’autocorrélation doit être prise en compte car, l’autocorrélation étant un calcul d’intégrale de la superposition entre la série et sa translation temporelle, les premières valeurs ne contiennent que très peu d’échantillons et sont particulièrement bruitées.</w:t>
      </w:r>
    </w:p>
    <w:p w:rsidR="00113BB8" w:rsidRPr="005C0DE7" w:rsidRDefault="00113BB8" w:rsidP="004331E7">
      <w:pPr>
        <w:jc w:val="both"/>
        <w:rPr>
          <w:rFonts w:ascii="Times New Roman" w:hAnsi="Times New Roman" w:cs="Times New Roman"/>
        </w:rPr>
      </w:pPr>
    </w:p>
    <w:p w:rsidR="004A2A05" w:rsidRPr="005C0DE7" w:rsidRDefault="004A2A05" w:rsidP="004331E7">
      <w:pPr>
        <w:jc w:val="both"/>
        <w:rPr>
          <w:rFonts w:ascii="Times New Roman" w:hAnsi="Times New Roman" w:cs="Times New Roman"/>
        </w:rPr>
      </w:pPr>
      <w:r w:rsidRPr="005C0DE7">
        <w:rPr>
          <w:rFonts w:ascii="Times New Roman" w:hAnsi="Times New Roman" w:cs="Times New Roman"/>
        </w:rPr>
        <w:t>II</w:t>
      </w:r>
      <w:r w:rsidR="00821B13" w:rsidRPr="005C0DE7">
        <w:rPr>
          <w:rFonts w:ascii="Times New Roman" w:hAnsi="Times New Roman" w:cs="Times New Roman"/>
        </w:rPr>
        <w:t>I</w:t>
      </w:r>
      <w:r w:rsidRPr="005C0DE7">
        <w:rPr>
          <w:rFonts w:ascii="Times New Roman" w:hAnsi="Times New Roman" w:cs="Times New Roman"/>
        </w:rPr>
        <w:t>. Expérimentations et variation de paramètres</w:t>
      </w:r>
    </w:p>
    <w:p w:rsidR="004A2A05" w:rsidRDefault="004A2A05" w:rsidP="004331E7">
      <w:pPr>
        <w:jc w:val="both"/>
        <w:rPr>
          <w:rFonts w:ascii="Times New Roman" w:hAnsi="Times New Roman" w:cs="Times New Roman"/>
        </w:rPr>
      </w:pPr>
    </w:p>
    <w:p w:rsidR="00113BB8" w:rsidRDefault="00113BB8" w:rsidP="004331E7">
      <w:pPr>
        <w:jc w:val="both"/>
        <w:rPr>
          <w:rFonts w:ascii="Times New Roman" w:hAnsi="Times New Roman" w:cs="Times New Roman"/>
        </w:rPr>
      </w:pPr>
      <w:r>
        <w:rPr>
          <w:rFonts w:ascii="Times New Roman" w:hAnsi="Times New Roman" w:cs="Times New Roman"/>
        </w:rPr>
        <w:t>1. Modification du nombre d’échantillons</w:t>
      </w:r>
    </w:p>
    <w:p w:rsidR="00A11809" w:rsidRDefault="00A11809" w:rsidP="004331E7">
      <w:pPr>
        <w:jc w:val="both"/>
        <w:rPr>
          <w:rFonts w:ascii="Times New Roman" w:hAnsi="Times New Roman" w:cs="Times New Roman"/>
        </w:rPr>
      </w:pPr>
    </w:p>
    <w:p w:rsidR="00A11809" w:rsidRDefault="00084465" w:rsidP="004331E7">
      <w:pPr>
        <w:jc w:val="both"/>
        <w:rPr>
          <w:rFonts w:ascii="Times New Roman" w:hAnsi="Times New Roman" w:cs="Times New Roman"/>
        </w:rPr>
      </w:pPr>
      <w:r>
        <w:rPr>
          <w:rFonts w:ascii="Times New Roman" w:hAnsi="Times New Roman" w:cs="Times New Roman"/>
        </w:rPr>
        <w:tab/>
        <w:t>La modification de nombre d’échantillons dans la série influence directement les résultats obtenus ainsi que la précision de l’histogramme final des valeurs de la série</w:t>
      </w:r>
      <w:r w:rsidR="00AA7EE0">
        <w:rPr>
          <w:rFonts w:ascii="Times New Roman" w:hAnsi="Times New Roman" w:cs="Times New Roman"/>
        </w:rPr>
        <w:t xml:space="preserve"> comme en témoigne la figure ci-dessous où la variable « T » vaut 1000</w:t>
      </w:r>
      <w:r>
        <w:rPr>
          <w:rFonts w:ascii="Times New Roman" w:hAnsi="Times New Roman" w:cs="Times New Roman"/>
        </w:rPr>
        <w:t>.</w:t>
      </w:r>
      <w:r w:rsidR="003B72C9">
        <w:rPr>
          <w:rFonts w:ascii="Times New Roman" w:hAnsi="Times New Roman" w:cs="Times New Roman"/>
        </w:rPr>
        <w:t xml:space="preserve"> On peut y constater aisément que la série a passé du temps sur le pic de gauche et n’a eu que très peu de « temps » pour étudier le pic de droite de la fonction cible.</w:t>
      </w:r>
      <w:r>
        <w:rPr>
          <w:rFonts w:ascii="Times New Roman" w:hAnsi="Times New Roman" w:cs="Times New Roman"/>
        </w:rPr>
        <w:t xml:space="preserve"> </w:t>
      </w:r>
      <w:r w:rsidR="00625480">
        <w:rPr>
          <w:rFonts w:ascii="Times New Roman" w:hAnsi="Times New Roman" w:cs="Times New Roman"/>
        </w:rPr>
        <w:t xml:space="preserve">En contrepartie, plus le nombre d’échantillons est grand, </w:t>
      </w:r>
      <w:r w:rsidR="00625480">
        <w:rPr>
          <w:rFonts w:ascii="Times New Roman" w:hAnsi="Times New Roman" w:cs="Times New Roman"/>
        </w:rPr>
        <w:lastRenderedPageBreak/>
        <w:t>plus l’algorithme sera précis mais sera lent. Le compromis temps de calcul contre précision est toujours important à rechercher.</w:t>
      </w:r>
    </w:p>
    <w:p w:rsidR="00113BB8" w:rsidRDefault="00113BB8" w:rsidP="004331E7">
      <w:pPr>
        <w:jc w:val="both"/>
        <w:rPr>
          <w:rFonts w:ascii="Times New Roman" w:hAnsi="Times New Roman" w:cs="Times New Roman"/>
        </w:rPr>
      </w:pPr>
    </w:p>
    <w:p w:rsidR="00D55041" w:rsidRDefault="00D55041" w:rsidP="00D55041">
      <w:pPr>
        <w:jc w:val="center"/>
        <w:rPr>
          <w:rFonts w:ascii="Times New Roman" w:hAnsi="Times New Roman" w:cs="Times New Roman"/>
        </w:rPr>
      </w:pPr>
      <w:r>
        <w:rPr>
          <w:rFonts w:ascii="Times New Roman" w:hAnsi="Times New Roman" w:cs="Times New Roman"/>
          <w:noProof/>
        </w:rPr>
        <w:drawing>
          <wp:inline distT="0" distB="0" distL="0" distR="0">
            <wp:extent cx="4035451" cy="2220700"/>
            <wp:effectExtent l="0" t="0" r="317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10-11 à 15.58.03.png"/>
                    <pic:cNvPicPr/>
                  </pic:nvPicPr>
                  <pic:blipFill>
                    <a:blip r:embed="rId7">
                      <a:extLst>
                        <a:ext uri="{28A0092B-C50C-407E-A947-70E740481C1C}">
                          <a14:useLocalDpi xmlns:a14="http://schemas.microsoft.com/office/drawing/2010/main" val="0"/>
                        </a:ext>
                      </a:extLst>
                    </a:blip>
                    <a:stretch>
                      <a:fillRect/>
                    </a:stretch>
                  </pic:blipFill>
                  <pic:spPr>
                    <a:xfrm>
                      <a:off x="0" y="0"/>
                      <a:ext cx="4052290" cy="2229966"/>
                    </a:xfrm>
                    <a:prstGeom prst="rect">
                      <a:avLst/>
                    </a:prstGeom>
                  </pic:spPr>
                </pic:pic>
              </a:graphicData>
            </a:graphic>
          </wp:inline>
        </w:drawing>
      </w:r>
    </w:p>
    <w:p w:rsidR="00D55041" w:rsidRDefault="00D55041" w:rsidP="004331E7">
      <w:pPr>
        <w:jc w:val="both"/>
        <w:rPr>
          <w:rFonts w:ascii="Times New Roman" w:hAnsi="Times New Roman" w:cs="Times New Roman"/>
        </w:rPr>
      </w:pPr>
    </w:p>
    <w:p w:rsidR="00113BB8" w:rsidRDefault="00113BB8" w:rsidP="004331E7">
      <w:pPr>
        <w:jc w:val="both"/>
        <w:rPr>
          <w:rFonts w:ascii="Times New Roman" w:hAnsi="Times New Roman" w:cs="Times New Roman"/>
        </w:rPr>
      </w:pPr>
      <w:r>
        <w:rPr>
          <w:rFonts w:ascii="Times New Roman" w:hAnsi="Times New Roman" w:cs="Times New Roman"/>
        </w:rPr>
        <w:t>2. Modification du pas</w:t>
      </w:r>
    </w:p>
    <w:p w:rsidR="00025BDD" w:rsidRDefault="00025BDD" w:rsidP="004331E7">
      <w:pPr>
        <w:jc w:val="both"/>
        <w:rPr>
          <w:rFonts w:ascii="Times New Roman" w:hAnsi="Times New Roman" w:cs="Times New Roman"/>
        </w:rPr>
      </w:pPr>
    </w:p>
    <w:p w:rsidR="002B7878" w:rsidRDefault="00E40424" w:rsidP="004331E7">
      <w:pPr>
        <w:jc w:val="both"/>
        <w:rPr>
          <w:rFonts w:ascii="Times New Roman" w:eastAsiaTheme="minorEastAsia" w:hAnsi="Times New Roman" w:cs="Times New Roman"/>
        </w:rPr>
      </w:pPr>
      <w:r>
        <w:rPr>
          <w:rFonts w:ascii="Times New Roman" w:hAnsi="Times New Roman" w:cs="Times New Roman"/>
        </w:rPr>
        <w:tab/>
      </w:r>
      <w:r w:rsidR="00025BDD">
        <w:rPr>
          <w:rFonts w:ascii="Times New Roman" w:hAnsi="Times New Roman" w:cs="Times New Roman"/>
        </w:rPr>
        <w:t>Af</w:t>
      </w:r>
      <w:r>
        <w:rPr>
          <w:rFonts w:ascii="Times New Roman" w:hAnsi="Times New Roman" w:cs="Times New Roman"/>
        </w:rPr>
        <w:t>in d’accélérer le processus tout en gardant une bonne précision, il est également possible de modifier un autre paramètre : le pas d’avancée. Mais une fois de plus des précautions sont à prendre avec ce paramètre « </w:t>
      </w:r>
      <w:proofErr w:type="spellStart"/>
      <w:r>
        <w:rPr>
          <w:rFonts w:ascii="Times New Roman" w:hAnsi="Times New Roman" w:cs="Times New Roman"/>
        </w:rPr>
        <w:t>sigq</w:t>
      </w:r>
      <w:proofErr w:type="spellEnd"/>
      <w:r>
        <w:rPr>
          <w:rFonts w:ascii="Times New Roman" w:hAnsi="Times New Roman" w:cs="Times New Roman"/>
        </w:rPr>
        <w:t xml:space="preserve"> » dans l’algorithme. En effet, si celui-ci est trop petit (0.001 sur la figure ci-dessous), alors on peut observer que l’algorithme aura tendance à rester toujours très proche d’un temps </w:t>
      </w:r>
      <m:oMath>
        <m:r>
          <w:rPr>
            <w:rFonts w:ascii="Cambria Math" w:hAnsi="Cambria Math" w:cs="Times New Roman"/>
          </w:rPr>
          <m:t>t</m:t>
        </m:r>
      </m:oMath>
      <w:r>
        <w:rPr>
          <w:rFonts w:ascii="Times New Roman" w:eastAsiaTheme="minorEastAsia" w:hAnsi="Times New Roman" w:cs="Times New Roman"/>
        </w:rPr>
        <w:t xml:space="preserve"> à un temps </w:t>
      </w:r>
      <m:oMath>
        <m:r>
          <w:rPr>
            <w:rFonts w:ascii="Cambria Math" w:eastAsiaTheme="minorEastAsia" w:hAnsi="Cambria Math" w:cs="Times New Roman"/>
          </w:rPr>
          <m:t>t+1</m:t>
        </m:r>
      </m:oMath>
      <w:r>
        <w:rPr>
          <w:rFonts w:ascii="Times New Roman" w:eastAsiaTheme="minorEastAsia" w:hAnsi="Times New Roman" w:cs="Times New Roman"/>
        </w:rPr>
        <w:t xml:space="preserve"> ce qui ne permettra pas d’étudier l’ensemble de la fonction cible même avec un nombre d’échantillons très grand, ici 10000.</w:t>
      </w:r>
      <w:r w:rsidR="002B7878">
        <w:rPr>
          <w:rFonts w:ascii="Times New Roman" w:eastAsiaTheme="minorEastAsia" w:hAnsi="Times New Roman" w:cs="Times New Roman"/>
        </w:rPr>
        <w:t xml:space="preserve"> On peut alors de plus constater que la fonction d’autocorrélation est beaucoup plus stable et statue donc sur une forte corrélation et donc dépendance d’un échantillon à l’autre de la série. En témoigne également le taux d’acceptation-rejet qui est particulièrement fort : 87.59%, ce qui signifie que la majeure partie des échantillons candidats sont acceptés et sont très proches </w:t>
      </w:r>
      <w:r w:rsidR="00456092">
        <w:rPr>
          <w:rFonts w:ascii="Times New Roman" w:eastAsiaTheme="minorEastAsia" w:hAnsi="Times New Roman" w:cs="Times New Roman"/>
        </w:rPr>
        <w:t>l</w:t>
      </w:r>
      <w:r w:rsidR="00353C2E">
        <w:rPr>
          <w:rFonts w:ascii="Times New Roman" w:eastAsiaTheme="minorEastAsia" w:hAnsi="Times New Roman" w:cs="Times New Roman"/>
        </w:rPr>
        <w:t>es uns des autres (à cause du pas de petite valeur)</w:t>
      </w:r>
      <w:r w:rsidR="00456092">
        <w:rPr>
          <w:rFonts w:ascii="Times New Roman" w:eastAsiaTheme="minorEastAsia" w:hAnsi="Times New Roman" w:cs="Times New Roman"/>
        </w:rPr>
        <w:t xml:space="preserve">. </w:t>
      </w:r>
    </w:p>
    <w:p w:rsidR="00456092" w:rsidRDefault="00456092" w:rsidP="004331E7">
      <w:pPr>
        <w:jc w:val="both"/>
        <w:rPr>
          <w:rFonts w:ascii="Times New Roman" w:eastAsiaTheme="minorEastAsia" w:hAnsi="Times New Roman" w:cs="Times New Roman"/>
        </w:rPr>
      </w:pPr>
    </w:p>
    <w:p w:rsidR="00456092" w:rsidRDefault="00456092" w:rsidP="00456092">
      <w:pPr>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852751" cy="208573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10-11 à 16.33.27.png"/>
                    <pic:cNvPicPr/>
                  </pic:nvPicPr>
                  <pic:blipFill>
                    <a:blip r:embed="rId8">
                      <a:extLst>
                        <a:ext uri="{28A0092B-C50C-407E-A947-70E740481C1C}">
                          <a14:useLocalDpi xmlns:a14="http://schemas.microsoft.com/office/drawing/2010/main" val="0"/>
                        </a:ext>
                      </a:extLst>
                    </a:blip>
                    <a:stretch>
                      <a:fillRect/>
                    </a:stretch>
                  </pic:blipFill>
                  <pic:spPr>
                    <a:xfrm>
                      <a:off x="0" y="0"/>
                      <a:ext cx="3886820" cy="2104182"/>
                    </a:xfrm>
                    <a:prstGeom prst="rect">
                      <a:avLst/>
                    </a:prstGeom>
                  </pic:spPr>
                </pic:pic>
              </a:graphicData>
            </a:graphic>
          </wp:inline>
        </w:drawing>
      </w:r>
    </w:p>
    <w:p w:rsidR="002B7878" w:rsidRDefault="002B7878" w:rsidP="004331E7">
      <w:pPr>
        <w:jc w:val="both"/>
        <w:rPr>
          <w:rFonts w:ascii="Times New Roman" w:hAnsi="Times New Roman" w:cs="Times New Roman"/>
        </w:rPr>
      </w:pPr>
    </w:p>
    <w:p w:rsidR="00D40ECF" w:rsidRDefault="00456092" w:rsidP="004331E7">
      <w:pPr>
        <w:jc w:val="both"/>
        <w:rPr>
          <w:rFonts w:ascii="Times New Roman" w:hAnsi="Times New Roman" w:cs="Times New Roman"/>
        </w:rPr>
      </w:pPr>
      <w:r>
        <w:rPr>
          <w:rFonts w:ascii="Times New Roman" w:hAnsi="Times New Roman" w:cs="Times New Roman"/>
        </w:rPr>
        <w:tab/>
        <w:t>Au contraire si l’on choisit un pas trop grand</w:t>
      </w:r>
      <w:r w:rsidR="00025BDD">
        <w:rPr>
          <w:rFonts w:ascii="Times New Roman" w:hAnsi="Times New Roman" w:cs="Times New Roman"/>
        </w:rPr>
        <w:t xml:space="preserve"> </w:t>
      </w:r>
      <w:r>
        <w:rPr>
          <w:rFonts w:ascii="Times New Roman" w:hAnsi="Times New Roman" w:cs="Times New Roman"/>
        </w:rPr>
        <w:t xml:space="preserve">(50 sur la figure ci-dessous), l’on observe un tout autre phénomène : cette fois ci le taux d’acceptation rejet est de 0.56% ce qui signifie qu’une très grande majorité des échantillons candidats ont été rejetés et donc on observe </w:t>
      </w:r>
      <w:r w:rsidR="001C708C">
        <w:rPr>
          <w:rFonts w:ascii="Times New Roman" w:hAnsi="Times New Roman" w:cs="Times New Roman"/>
        </w:rPr>
        <w:t xml:space="preserve">une série </w:t>
      </w:r>
      <w:r w:rsidR="00A6073A">
        <w:rPr>
          <w:rFonts w:ascii="Times New Roman" w:hAnsi="Times New Roman" w:cs="Times New Roman"/>
        </w:rPr>
        <w:t>très crénelée</w:t>
      </w:r>
      <w:bookmarkStart w:id="0" w:name="_GoBack"/>
      <w:bookmarkEnd w:id="0"/>
      <w:r w:rsidR="001C708C">
        <w:rPr>
          <w:rFonts w:ascii="Times New Roman" w:hAnsi="Times New Roman" w:cs="Times New Roman"/>
        </w:rPr>
        <w:t xml:space="preserve"> à cause de ces rejets</w:t>
      </w:r>
      <w:r>
        <w:rPr>
          <w:rFonts w:ascii="Times New Roman" w:hAnsi="Times New Roman" w:cs="Times New Roman"/>
        </w:rPr>
        <w:t>. Par conséquent, l’autocorrélation est elle aussi beaucoup moins prononcée en 0 ce qui s’explique par cette succession d’échantillons identiques</w:t>
      </w:r>
      <w:r w:rsidR="00D40ECF">
        <w:rPr>
          <w:rFonts w:ascii="Times New Roman" w:hAnsi="Times New Roman" w:cs="Times New Roman"/>
        </w:rPr>
        <w:t xml:space="preserve">. Aussi, l’histogramme final est particulièrement perturbé car les valeurs les plus répétées ne sont pas </w:t>
      </w:r>
      <w:r w:rsidR="00D40ECF">
        <w:rPr>
          <w:rFonts w:ascii="Times New Roman" w:hAnsi="Times New Roman" w:cs="Times New Roman"/>
        </w:rPr>
        <w:lastRenderedPageBreak/>
        <w:t>nécessairement issues du bon fonctionnement de l’algorithme mais de la forte répétition des échantillons à cause d’un pas beaucoup trop grand.</w:t>
      </w:r>
    </w:p>
    <w:p w:rsidR="00D40ECF" w:rsidRDefault="00D40ECF" w:rsidP="004331E7">
      <w:pPr>
        <w:jc w:val="both"/>
        <w:rPr>
          <w:rFonts w:ascii="Times New Roman" w:hAnsi="Times New Roman" w:cs="Times New Roman"/>
        </w:rPr>
      </w:pPr>
    </w:p>
    <w:p w:rsidR="00025BDD" w:rsidRDefault="00D40ECF" w:rsidP="00D40ECF">
      <w:pPr>
        <w:jc w:val="center"/>
        <w:rPr>
          <w:rFonts w:ascii="Times New Roman" w:hAnsi="Times New Roman" w:cs="Times New Roman"/>
        </w:rPr>
      </w:pPr>
      <w:r>
        <w:rPr>
          <w:rFonts w:ascii="Times New Roman" w:hAnsi="Times New Roman" w:cs="Times New Roman"/>
          <w:noProof/>
        </w:rPr>
        <w:drawing>
          <wp:inline distT="0" distB="0" distL="0" distR="0">
            <wp:extent cx="3858278" cy="2115967"/>
            <wp:effectExtent l="0" t="0" r="254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10-11 à 17.24.32.png"/>
                    <pic:cNvPicPr/>
                  </pic:nvPicPr>
                  <pic:blipFill>
                    <a:blip r:embed="rId9">
                      <a:extLst>
                        <a:ext uri="{28A0092B-C50C-407E-A947-70E740481C1C}">
                          <a14:useLocalDpi xmlns:a14="http://schemas.microsoft.com/office/drawing/2010/main" val="0"/>
                        </a:ext>
                      </a:extLst>
                    </a:blip>
                    <a:stretch>
                      <a:fillRect/>
                    </a:stretch>
                  </pic:blipFill>
                  <pic:spPr>
                    <a:xfrm>
                      <a:off x="0" y="0"/>
                      <a:ext cx="3868408" cy="2121522"/>
                    </a:xfrm>
                    <a:prstGeom prst="rect">
                      <a:avLst/>
                    </a:prstGeom>
                  </pic:spPr>
                </pic:pic>
              </a:graphicData>
            </a:graphic>
          </wp:inline>
        </w:drawing>
      </w:r>
    </w:p>
    <w:p w:rsidR="00456092" w:rsidRDefault="00456092" w:rsidP="004331E7">
      <w:pPr>
        <w:jc w:val="both"/>
        <w:rPr>
          <w:rFonts w:ascii="Times New Roman" w:hAnsi="Times New Roman" w:cs="Times New Roman"/>
        </w:rPr>
      </w:pPr>
    </w:p>
    <w:p w:rsidR="00113BB8" w:rsidRPr="005C0DE7" w:rsidRDefault="00113BB8" w:rsidP="004331E7">
      <w:pPr>
        <w:jc w:val="both"/>
        <w:rPr>
          <w:rFonts w:ascii="Times New Roman" w:hAnsi="Times New Roman" w:cs="Times New Roman"/>
        </w:rPr>
      </w:pPr>
    </w:p>
    <w:p w:rsidR="004A2A05" w:rsidRPr="005C0DE7" w:rsidRDefault="004A2A05" w:rsidP="004331E7">
      <w:pPr>
        <w:jc w:val="both"/>
        <w:rPr>
          <w:rFonts w:ascii="Times New Roman" w:hAnsi="Times New Roman" w:cs="Times New Roman"/>
        </w:rPr>
      </w:pPr>
      <w:r w:rsidRPr="005C0DE7">
        <w:rPr>
          <w:rFonts w:ascii="Times New Roman" w:hAnsi="Times New Roman" w:cs="Times New Roman"/>
        </w:rPr>
        <w:t>I</w:t>
      </w:r>
      <w:r w:rsidR="00821B13" w:rsidRPr="005C0DE7">
        <w:rPr>
          <w:rFonts w:ascii="Times New Roman" w:hAnsi="Times New Roman" w:cs="Times New Roman"/>
        </w:rPr>
        <w:t>V</w:t>
      </w:r>
      <w:r w:rsidRPr="005C0DE7">
        <w:rPr>
          <w:rFonts w:ascii="Times New Roman" w:hAnsi="Times New Roman" w:cs="Times New Roman"/>
        </w:rPr>
        <w:t>. Modification de loi cible et de proposition</w:t>
      </w:r>
    </w:p>
    <w:p w:rsidR="00821B13" w:rsidRPr="005C0DE7" w:rsidRDefault="00821B13" w:rsidP="004331E7">
      <w:pPr>
        <w:jc w:val="both"/>
        <w:rPr>
          <w:rFonts w:ascii="Times New Roman" w:hAnsi="Times New Roman" w:cs="Times New Roman"/>
        </w:rPr>
      </w:pPr>
    </w:p>
    <w:p w:rsidR="00821B13" w:rsidRPr="005C0DE7" w:rsidRDefault="00821B13" w:rsidP="004331E7">
      <w:pPr>
        <w:jc w:val="both"/>
        <w:rPr>
          <w:rFonts w:ascii="Times New Roman" w:hAnsi="Times New Roman" w:cs="Times New Roman"/>
        </w:rPr>
      </w:pPr>
      <w:r w:rsidRPr="005C0DE7">
        <w:rPr>
          <w:rFonts w:ascii="Times New Roman" w:hAnsi="Times New Roman" w:cs="Times New Roman"/>
        </w:rPr>
        <w:t>V. Conclusion</w:t>
      </w:r>
    </w:p>
    <w:sectPr w:rsidR="00821B13" w:rsidRPr="005C0DE7" w:rsidSect="00ED73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7677A"/>
    <w:multiLevelType w:val="hybridMultilevel"/>
    <w:tmpl w:val="49162658"/>
    <w:lvl w:ilvl="0" w:tplc="4CE4386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F451C0"/>
    <w:multiLevelType w:val="multilevel"/>
    <w:tmpl w:val="BFD0FE36"/>
    <w:styleLink w:val="Titrecr"/>
    <w:lvl w:ilvl="0">
      <w:start w:val="1"/>
      <w:numFmt w:val="upperRoman"/>
      <w:lvlText w:val="%1."/>
      <w:lvlJc w:val="left"/>
      <w:pPr>
        <w:ind w:left="1080" w:hanging="720"/>
      </w:pPr>
      <w:rPr>
        <w:rFonts w:ascii="Arial" w:hAnsi="Arial" w:hint="default"/>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C36E81"/>
    <w:multiLevelType w:val="hybridMultilevel"/>
    <w:tmpl w:val="A65E1844"/>
    <w:lvl w:ilvl="0" w:tplc="54664F04">
      <w:start w:val="1"/>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10"/>
    <w:rsid w:val="00025BDD"/>
    <w:rsid w:val="00054A70"/>
    <w:rsid w:val="00056DF4"/>
    <w:rsid w:val="00084465"/>
    <w:rsid w:val="000A4C51"/>
    <w:rsid w:val="000A6548"/>
    <w:rsid w:val="000F4AF9"/>
    <w:rsid w:val="00113BB8"/>
    <w:rsid w:val="001C708C"/>
    <w:rsid w:val="00265CE3"/>
    <w:rsid w:val="002A58BA"/>
    <w:rsid w:val="002B7878"/>
    <w:rsid w:val="00313DFB"/>
    <w:rsid w:val="00353C2E"/>
    <w:rsid w:val="003B72C9"/>
    <w:rsid w:val="003D417E"/>
    <w:rsid w:val="0042717E"/>
    <w:rsid w:val="00431538"/>
    <w:rsid w:val="004331E7"/>
    <w:rsid w:val="00456092"/>
    <w:rsid w:val="00493CE3"/>
    <w:rsid w:val="004A2A05"/>
    <w:rsid w:val="004C6448"/>
    <w:rsid w:val="0050778A"/>
    <w:rsid w:val="00596892"/>
    <w:rsid w:val="005C0DE7"/>
    <w:rsid w:val="005D0410"/>
    <w:rsid w:val="00625480"/>
    <w:rsid w:val="00753355"/>
    <w:rsid w:val="007F43F7"/>
    <w:rsid w:val="00821B13"/>
    <w:rsid w:val="008D1697"/>
    <w:rsid w:val="008D2F87"/>
    <w:rsid w:val="009A0358"/>
    <w:rsid w:val="00A11809"/>
    <w:rsid w:val="00A6073A"/>
    <w:rsid w:val="00A81392"/>
    <w:rsid w:val="00AA7EE0"/>
    <w:rsid w:val="00AB57DF"/>
    <w:rsid w:val="00AD5486"/>
    <w:rsid w:val="00B71A9E"/>
    <w:rsid w:val="00C10C5F"/>
    <w:rsid w:val="00C931F9"/>
    <w:rsid w:val="00CB7163"/>
    <w:rsid w:val="00D40ECF"/>
    <w:rsid w:val="00D55041"/>
    <w:rsid w:val="00D62687"/>
    <w:rsid w:val="00E40424"/>
    <w:rsid w:val="00ED73D6"/>
    <w:rsid w:val="00F86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244B"/>
  <w14:defaultImageDpi w14:val="32767"/>
  <w15:chartTrackingRefBased/>
  <w15:docId w15:val="{AFE645E4-49ED-F14F-B0AF-16036F77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itrecr">
    <w:name w:val="Titre créé"/>
    <w:basedOn w:val="Aucuneliste"/>
    <w:uiPriority w:val="99"/>
    <w:rsid w:val="00265CE3"/>
    <w:pPr>
      <w:numPr>
        <w:numId w:val="1"/>
      </w:numPr>
    </w:pPr>
  </w:style>
  <w:style w:type="character" w:styleId="Textedelespacerserv">
    <w:name w:val="Placeholder Text"/>
    <w:basedOn w:val="Policepardfaut"/>
    <w:uiPriority w:val="99"/>
    <w:semiHidden/>
    <w:rsid w:val="005C0DE7"/>
    <w:rPr>
      <w:color w:val="808080"/>
    </w:rPr>
  </w:style>
  <w:style w:type="paragraph" w:styleId="Paragraphedeliste">
    <w:name w:val="List Paragraph"/>
    <w:basedOn w:val="Normal"/>
    <w:uiPriority w:val="34"/>
    <w:qFormat/>
    <w:rsid w:val="00F86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1197</Words>
  <Characters>6587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Toinou Bralet</dc:creator>
  <cp:keywords/>
  <dc:description/>
  <cp:lastModifiedBy>Toinou Bralet</cp:lastModifiedBy>
  <cp:revision>32</cp:revision>
  <dcterms:created xsi:type="dcterms:W3CDTF">2020-10-11T07:30:00Z</dcterms:created>
  <dcterms:modified xsi:type="dcterms:W3CDTF">2020-10-11T15:33:00Z</dcterms:modified>
</cp:coreProperties>
</file>