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da7d26acc90868ffd94b32157cc0f4cc52482e"/>
    <w:p>
      <w:pPr>
        <w:pStyle w:val="Heading1"/>
      </w:pPr>
      <w:r>
        <w:t xml:space="preserve">Understanding Distance to Default (DD) and Probability of Default (PD)</w:t>
      </w:r>
    </w:p>
    <w:bookmarkStart w:id="9" w:name="symbol-definitions-used-throughout"/>
    <w:p>
      <w:pPr>
        <w:pStyle w:val="Heading2"/>
      </w:pPr>
      <w:r>
        <w:t xml:space="preserve">Symbol Definitions (Used Throughout)</w:t>
      </w:r>
    </w:p>
    <w:p>
      <w:pPr>
        <w:pStyle w:val="FirstParagraph"/>
      </w:pPr>
      <w:r>
        <w:rPr>
          <w:b/>
          <w:bCs/>
        </w:rPr>
        <w:t xml:space="preserve">Core Symbols</w:t>
      </w:r>
      <w:r>
        <w:t xml:space="preserve"> </w:t>
      </w:r>
      <w:r>
        <w:t xml:space="preserve">(no hats except in naive section):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</w:t>
      </w:r>
      <w:r>
        <w:t xml:space="preserve"> </w:t>
      </w:r>
      <w:r>
        <w:t xml:space="preserve">= Firm asset value (USD)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</w:t>
      </w:r>
      <w:r>
        <w:t xml:space="preserve"> </w:t>
      </w:r>
      <w:r>
        <w:t xml:space="preserve">= Face value of debt (USD)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σ_V</w:t>
      </w:r>
      <w:r>
        <w:t xml:space="preserve"> </w:t>
      </w:r>
      <w:r>
        <w:t xml:space="preserve">= Asset volatility (annual, decimal)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σ_E</w:t>
      </w:r>
      <w:r>
        <w:t xml:space="preserve"> </w:t>
      </w:r>
      <w:r>
        <w:t xml:space="preserve">= Equity volatility (annual, decimal)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r_f</w:t>
      </w:r>
      <w:r>
        <w:t xml:space="preserve"> </w:t>
      </w:r>
      <w:r>
        <w:t xml:space="preserve">= Risk-free rate (annual, decimal)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</w:t>
      </w:r>
      <w:r>
        <w:t xml:space="preserve"> </w:t>
      </w:r>
      <w:r>
        <w:t xml:space="preserve">= Time horizon (years, typically 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Φ</w:t>
      </w:r>
      <w:r>
        <w:t xml:space="preserve"> </w:t>
      </w:r>
      <w:r>
        <w:t xml:space="preserve">= Standard normal cumulative distribution function</w:t>
      </w:r>
    </w:p>
    <w:p>
      <w:pPr>
        <w:pStyle w:val="BodyText"/>
      </w:pPr>
      <w:r>
        <w:rPr>
          <w:b/>
          <w:bCs/>
        </w:rPr>
        <w:t xml:space="preserve">Barrier Convention</w:t>
      </w:r>
      <w:r>
        <w:t xml:space="preserve">: For banks, F = total liabilities (deposits are liabilities and dominate funding).</w:t>
      </w:r>
    </w:p>
    <w:p>
      <w:pPr>
        <w:pStyle w:val="BodyText"/>
      </w:pPr>
      <w:r>
        <w:rPr>
          <w:b/>
          <w:bCs/>
        </w:rPr>
        <w:t xml:space="preserve">Units Convention</w:t>
      </w:r>
      <w:r>
        <w:t xml:space="preserve">: Millions converted to dollars once, not twice.</w:t>
      </w:r>
    </w:p>
    <w:bookmarkEnd w:id="9"/>
    <w:bookmarkStart w:id="10" w:name="time-index-conventions"/>
    <w:p>
      <w:pPr>
        <w:pStyle w:val="Heading2"/>
      </w:pPr>
      <w:r>
        <w:t xml:space="preserve">⏰ Time Index Conventions</w:t>
      </w:r>
    </w:p>
    <w:p>
      <w:pPr>
        <w:pStyle w:val="FirstParagraph"/>
      </w:pPr>
      <w:r>
        <w:rPr>
          <w:b/>
          <w:bCs/>
        </w:rPr>
        <w:t xml:space="preserve">Critical</w:t>
      </w:r>
      <w:r>
        <w:t xml:space="preserve">: All variables are indexed by time to prevent lookahead bias.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E_t</w:t>
      </w:r>
      <w:r>
        <w:t xml:space="preserve">: Market capitalization observed during year 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F_t</w:t>
      </w:r>
      <w:r>
        <w:t xml:space="preserve">: Barrier at t (for banks: total liabilities at 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r_{f,t}</w:t>
      </w:r>
      <w:r>
        <w:t xml:space="preserve">: One-year risk-free rate observed at 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σ_{E,t-1}</w:t>
      </w:r>
      <w:r>
        <w:t xml:space="preserve">: Equity volatility computed only from returns up to t-1 (no future data)</w:t>
      </w:r>
    </w:p>
    <w:p>
      <w:pPr>
        <w:pStyle w:val="Compact"/>
        <w:numPr>
          <w:ilvl w:val="0"/>
          <w:numId w:val="1001"/>
        </w:numPr>
      </w:pPr>
      <w:r>
        <w:t xml:space="preserve">**μ̂_t**: For naive approach, equals r_{i,t-1} (previous year’s equity return)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V_t, σ_{V,t}</w:t>
      </w:r>
      <w:r>
        <w:t xml:space="preserve">: Solved at time t using only information available at 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: Time horizon = 1 year (from t to t+1)</w:t>
      </w:r>
    </w:p>
    <w:p>
      <w:pPr>
        <w:pStyle w:val="FirstParagraph"/>
      </w:pPr>
      <w:r>
        <w:rPr>
          <w:b/>
          <w:bCs/>
        </w:rPr>
        <w:t xml:space="preserve">Key Statements</w:t>
      </w:r>
      <w:r>
        <w:t xml:space="preserve">:</w:t>
      </w:r>
      <w:r>
        <w:t xml:space="preserve"> </w:t>
      </w:r>
      <w:r>
        <w:t xml:space="preserve">- DD_{m,t} equals d₂ when μ = r_{f,t} (Q-measure)</w:t>
      </w:r>
      <w:r>
        <w:t xml:space="preserve"> </w:t>
      </w:r>
      <w:r>
        <w:t xml:space="preserve">- DD_{naive,t} uses μ̂</w:t>
      </w:r>
      <w:r>
        <w:rPr>
          <w:i/>
          <w:iCs/>
        </w:rPr>
        <w:t xml:space="preserve">t = r</w:t>
      </w:r>
      <w:r>
        <w:t xml:space="preserve">{i,t-1} and is a P-style score unless calibrated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lookahead</w:t>
      </w:r>
      <w:r>
        <w:t xml:space="preserve">: σ_{E,t-1} window ends strictly at t-1</w:t>
      </w:r>
    </w:p>
    <w:p>
      <w:r>
        <w:pict>
          <v:rect style="width:0;height:1.5pt" o:hralign="center" o:hrstd="t" o:hr="t"/>
        </w:pict>
      </w:r>
    </w:p>
    <w:bookmarkEnd w:id="10"/>
    <w:bookmarkStart w:id="11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2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ilvl w:val="0"/>
          <w:numId w:val="1002"/>
        </w:numPr>
      </w:pPr>
      <w:hyperlink w:anchor="what-is-distance-to-default">
        <w:r>
          <w:rPr>
            <w:rStyle w:val="Hyperlink"/>
          </w:rPr>
          <w:t xml:space="preserve">What is Distance to Default?</w:t>
        </w:r>
      </w:hyperlink>
    </w:p>
    <w:p>
      <w:pPr>
        <w:pStyle w:val="Compact"/>
        <w:numPr>
          <w:ilvl w:val="0"/>
          <w:numId w:val="1002"/>
        </w:numPr>
      </w:pPr>
      <w:hyperlink w:anchor="what-is-probability-of-default">
        <w:r>
          <w:rPr>
            <w:rStyle w:val="Hyperlink"/>
          </w:rPr>
          <w:t xml:space="preserve">What is Probability of Default?</w:t>
        </w:r>
      </w:hyperlink>
    </w:p>
    <w:p>
      <w:pPr>
        <w:pStyle w:val="Compact"/>
        <w:numPr>
          <w:ilvl w:val="0"/>
          <w:numId w:val="1002"/>
        </w:numPr>
      </w:pPr>
      <w:hyperlink w:anchor="the-merton-model-foundation">
        <w:r>
          <w:rPr>
            <w:rStyle w:val="Hyperlink"/>
          </w:rPr>
          <w:t xml:space="preserve">The Merton Model Foundation</w:t>
        </w:r>
      </w:hyperlink>
    </w:p>
    <w:p>
      <w:pPr>
        <w:pStyle w:val="Compact"/>
        <w:numPr>
          <w:ilvl w:val="0"/>
          <w:numId w:val="1002"/>
        </w:numPr>
      </w:pPr>
      <w:hyperlink w:anchor="market-based-approach">
        <w:r>
          <w:rPr>
            <w:rStyle w:val="Hyperlink"/>
          </w:rPr>
          <w:t xml:space="preserve">Market-Based Approach</w:t>
        </w:r>
      </w:hyperlink>
    </w:p>
    <w:p>
      <w:pPr>
        <w:pStyle w:val="Compact"/>
        <w:numPr>
          <w:ilvl w:val="0"/>
          <w:numId w:val="1002"/>
        </w:numPr>
      </w:pPr>
      <w:hyperlink w:anchor="accounting-based-approach">
        <w:r>
          <w:rPr>
            <w:rStyle w:val="Hyperlink"/>
          </w:rPr>
          <w:t xml:space="preserve">Accounting-Based Approach</w:t>
        </w:r>
      </w:hyperlink>
    </w:p>
    <w:p>
      <w:pPr>
        <w:pStyle w:val="Compact"/>
        <w:numPr>
          <w:ilvl w:val="0"/>
          <w:numId w:val="1002"/>
        </w:numPr>
      </w:pPr>
      <w:hyperlink w:anchor="comparing-both-approaches">
        <w:r>
          <w:rPr>
            <w:rStyle w:val="Hyperlink"/>
          </w:rPr>
          <w:t xml:space="preserve">Comparing Both Approaches</w:t>
        </w:r>
      </w:hyperlink>
    </w:p>
    <w:p>
      <w:pPr>
        <w:pStyle w:val="Compact"/>
        <w:numPr>
          <w:ilvl w:val="0"/>
          <w:numId w:val="1002"/>
        </w:numPr>
      </w:pPr>
      <w:hyperlink w:anchor="results-interpretation">
        <w:r>
          <w:rPr>
            <w:rStyle w:val="Hyperlink"/>
          </w:rPr>
          <w:t xml:space="preserve">Results Interpretation</w:t>
        </w:r>
      </w:hyperlink>
    </w:p>
    <w:p>
      <w:pPr>
        <w:pStyle w:val="Compact"/>
        <w:numPr>
          <w:ilvl w:val="0"/>
          <w:numId w:val="1002"/>
        </w:numPr>
      </w:pPr>
      <w:hyperlink w:anchor="walkthrough-examples">
        <w:r>
          <w:rPr>
            <w:rStyle w:val="Hyperlink"/>
          </w:rPr>
          <w:t xml:space="preserve">Walkthrough Examples</w:t>
        </w:r>
      </w:hyperlink>
    </w:p>
    <w:p>
      <w:pPr>
        <w:pStyle w:val="Compact"/>
        <w:numPr>
          <w:ilvl w:val="0"/>
          <w:numId w:val="1002"/>
        </w:numPr>
      </w:pPr>
      <w:hyperlink w:anchor="appendix">
        <w:r>
          <w:rPr>
            <w:rStyle w:val="Hyperlink"/>
          </w:rPr>
          <w:t xml:space="preserve">Appendix: Why d₂ is the z-score</w:t>
        </w:r>
      </w:hyperlink>
    </w:p>
    <w:p>
      <w:r>
        <w:pict>
          <v:rect style="width:0;height:1.5pt" o:hralign="center" o:hrstd="t" o:hr="t"/>
        </w:pict>
      </w:r>
    </w:p>
    <w:bookmarkEnd w:id="11"/>
    <w:bookmarkStart w:id="1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explains how we measure the financial health and default risk of banking institutions using two complementary metrics:</w:t>
      </w:r>
      <w:r>
        <w:t xml:space="preserve"> </w:t>
      </w:r>
      <w:r>
        <w:rPr>
          <w:b/>
          <w:bCs/>
        </w:rPr>
        <w:t xml:space="preserve">Distance to Default (DD)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Probability of Default (PD)</w:t>
      </w:r>
      <w:r>
        <w:t xml:space="preserve">.</w:t>
      </w:r>
    </w:p>
    <w:p>
      <w:pPr>
        <w:pStyle w:val="BodyText"/>
      </w:pPr>
      <w:r>
        <w:t xml:space="preserve">The foundation comes from Merton (1974), who viewed equity as a call option on firm assets. This was extended by Kealhofer, McQuown, and Vasicek (KMV) for publicly traded firms.</w:t>
      </w:r>
    </w:p>
    <w:p>
      <w:pPr>
        <w:pStyle w:val="BodyText"/>
      </w:pPr>
      <w:r>
        <w:rPr>
          <w:b/>
          <w:bCs/>
        </w:rPr>
        <w:t xml:space="preserve">Key References:</w:t>
      </w:r>
      <w:r>
        <w:t xml:space="preserve"> </w:t>
      </w:r>
      <w:r>
        <w:t xml:space="preserve">- Merton, R. C. (1974).</w:t>
      </w:r>
      <w:r>
        <w:t xml:space="preserve"> </w:t>
      </w:r>
      <w:r>
        <w:t xml:space="preserve">“On the Pricing of Corporate Debt: The Risk Structure of Interest Rates”</w:t>
      </w:r>
      <w:r>
        <w:t xml:space="preserve"> </w:t>
      </w:r>
      <w:r>
        <w:t xml:space="preserve">- Bharath, S. T., &amp; Shumway, T. (2008).</w:t>
      </w:r>
      <w:r>
        <w:t xml:space="preserve"> </w:t>
      </w:r>
      <w:r>
        <w:t xml:space="preserve">“Forecasting Default with the Merton Distance to Default Model”</w:t>
      </w:r>
      <w:r>
        <w:t xml:space="preserve"> </w:t>
      </w:r>
      <w:r>
        <w:t xml:space="preserve">- Tepe, M., Thastrom, P., and Chang, R. (2022).</w:t>
      </w:r>
      <w:r>
        <w:t xml:space="preserve"> </w:t>
      </w:r>
      <w:r>
        <w:t xml:space="preserve">“How Does ESG Activities Affect Default Risk”</w:t>
      </w:r>
    </w:p>
    <w:p>
      <w:r>
        <w:pict>
          <v:rect style="width:0;height:1.5pt" o:hralign="center" o:hrstd="t" o:hr="t"/>
        </w:pict>
      </w:r>
    </w:p>
    <w:bookmarkEnd w:id="12"/>
    <w:bookmarkStart w:id="13" w:name="what-is-distance-to-default"/>
    <w:p>
      <w:pPr>
        <w:pStyle w:val="Heading2"/>
      </w:pPr>
      <w:r>
        <w:t xml:space="preserve">What is Distance to Default?</w:t>
      </w:r>
    </w:p>
    <w:p>
      <w:pPr>
        <w:pStyle w:val="FirstParagraph"/>
      </w:pPr>
      <w:r>
        <w:rPr>
          <w:b/>
          <w:bCs/>
        </w:rPr>
        <w:t xml:space="preserve">Distance to Default (DD)</w:t>
      </w:r>
      <w:r>
        <w:t xml:space="preserve"> </w:t>
      </w:r>
      <w:r>
        <w:t xml:space="preserve">measures how many volatility steps separate a firm’s assets from its debt level.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DD = 5</w:t>
      </w:r>
      <w:r>
        <w:t xml:space="preserve">: Assets are 5 volatility steps above debt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DD = 1</w:t>
      </w:r>
      <w:r>
        <w:t xml:space="preserve">: Only 1 volatility step from trouble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DD &lt; 0</w:t>
      </w:r>
      <w:r>
        <w:t xml:space="preserve">: Assets already below debt</w:t>
      </w:r>
    </w:p>
    <w:p>
      <w:r>
        <w:pict>
          <v:rect style="width:0;height:1.5pt" o:hralign="center" o:hrstd="t" o:hr="t"/>
        </w:pict>
      </w:r>
    </w:p>
    <w:bookmarkEnd w:id="13"/>
    <w:bookmarkStart w:id="15" w:name="what-is-probability-of-default"/>
    <w:p>
      <w:pPr>
        <w:pStyle w:val="Heading2"/>
      </w:pPr>
      <w:r>
        <w:t xml:space="preserve">What is Probability of Default?</w:t>
      </w:r>
    </w:p>
    <w:p>
      <w:pPr>
        <w:pStyle w:val="FirstParagraph"/>
      </w:pPr>
      <w:r>
        <w:rPr>
          <w:b/>
          <w:bCs/>
        </w:rPr>
        <w:t xml:space="preserve">Probability of Default (PD)</w:t>
      </w:r>
      <w:r>
        <w:t xml:space="preserve"> </w:t>
      </w:r>
      <w:r>
        <w:t xml:space="preserve">converts DD into a percentage chance of default within time T.</w:t>
      </w:r>
    </w:p>
    <w:p>
      <w:pPr>
        <w:pStyle w:val="SourceCode"/>
      </w:pPr>
      <w:r>
        <w:rPr>
          <w:rStyle w:val="VerbatimChar"/>
        </w:rPr>
        <w:t xml:space="preserve">PD = Φ(-DD)</w:t>
      </w:r>
    </w:p>
    <w:bookmarkStart w:id="14" w:name="practical-interpretation"/>
    <w:p>
      <w:pPr>
        <w:pStyle w:val="Heading3"/>
      </w:pPr>
      <w:r>
        <w:t xml:space="preserve">Practical Interpretation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DD</w:t>
            </w:r>
          </w:p>
        </w:tc>
        <w:tc>
          <w:tcPr/>
          <w:p>
            <w:pPr>
              <w:pStyle w:val="Compact"/>
            </w:pPr>
            <w:r>
              <w:t xml:space="preserve">PD</w:t>
            </w:r>
          </w:p>
        </w:tc>
        <w:tc>
          <w:tcPr/>
          <w:p>
            <w:pPr>
              <w:pStyle w:val="Compact"/>
            </w:pPr>
            <w:r>
              <w:t xml:space="preserve">Risk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15.87%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0.135%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4.47</w:t>
            </w:r>
          </w:p>
        </w:tc>
        <w:tc>
          <w:tcPr/>
          <w:p>
            <w:pPr>
              <w:pStyle w:val="Compact"/>
            </w:pPr>
            <w:r>
              <w:t xml:space="preserve">0.000391%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0.0000287%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  <w:r>
              <w:t xml:space="preserve">5.99×10⁻⁷%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≥7</w:t>
            </w:r>
          </w:p>
        </w:tc>
        <w:tc>
          <w:tcPr/>
          <w:p>
            <w:pPr>
              <w:pStyle w:val="Compact"/>
            </w:pPr>
            <w:r>
              <w:t xml:space="preserve">≈0†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</w:tr>
    </w:tbl>
    <w:p>
      <w:pPr>
        <w:pStyle w:val="BodyText"/>
      </w:pPr>
      <w:r>
        <w:rPr>
          <w:b/>
          <w:bCs/>
        </w:rPr>
        <w:t xml:space="preserve">†Note</w:t>
      </w:r>
      <w:r>
        <w:t xml:space="preserve">: For DD ≥ 7, PD approaches machine precision limits. We report</w:t>
      </w:r>
      <w:r>
        <w:t xml:space="preserve"> </w:t>
      </w:r>
      <w:r>
        <w:t xml:space="preserve">“effectively zero”</w:t>
      </w:r>
      <w:r>
        <w:t xml:space="preserve"> </w:t>
      </w:r>
      <w:r>
        <w:t xml:space="preserve">and round to 3-4 significant digits only.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2" w:name="the-merton-model-foundation"/>
    <w:p>
      <w:pPr>
        <w:pStyle w:val="Heading2"/>
      </w:pPr>
      <w:r>
        <w:t xml:space="preserve">The Merton Model Foundation</w:t>
      </w:r>
    </w:p>
    <w:bookmarkStart w:id="16" w:name="core-insight"/>
    <w:p>
      <w:pPr>
        <w:pStyle w:val="Heading3"/>
      </w:pPr>
      <w:r>
        <w:t xml:space="preserve">Core Insight</w:t>
      </w:r>
    </w:p>
    <w:p>
      <w:pPr>
        <w:pStyle w:val="FirstParagraph"/>
      </w:pPr>
      <w:r>
        <w:t xml:space="preserve">Shareholders hold a</w:t>
      </w:r>
      <w:r>
        <w:t xml:space="preserve"> </w:t>
      </w:r>
      <w:r>
        <w:rPr>
          <w:b/>
          <w:bCs/>
        </w:rPr>
        <w:t xml:space="preserve">call option</w:t>
      </w:r>
      <w:r>
        <w:t xml:space="preserve"> </w:t>
      </w:r>
      <w:r>
        <w:t xml:space="preserve">on firm assets with strike price F.</w:t>
      </w:r>
    </w:p>
    <w:bookmarkEnd w:id="16"/>
    <w:bookmarkStart w:id="19" w:name="the-two-key-equations"/>
    <w:p>
      <w:pPr>
        <w:pStyle w:val="Heading3"/>
      </w:pPr>
      <w:r>
        <w:t xml:space="preserve">The Two Key Equations</w:t>
      </w:r>
    </w:p>
    <w:bookmarkStart w:id="17" w:name="equity-value-equation"/>
    <w:p>
      <w:pPr>
        <w:pStyle w:val="Heading4"/>
      </w:pPr>
      <w:r>
        <w:t xml:space="preserve">1. Equity Value Equation</w:t>
      </w:r>
    </w:p>
    <w:p>
      <w:pPr>
        <w:pStyle w:val="SourceCode"/>
      </w:pPr>
      <w:r>
        <w:rPr>
          <w:rStyle w:val="VerbatimChar"/>
        </w:rPr>
        <w:t xml:space="preserve">E_t = V_t × Φ(d₁) - F_t × e^(-r_{f,t}×T) × Φ(d₂)</w:t>
      </w:r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Φ(d₂)</w:t>
      </w:r>
      <w:r>
        <w:t xml:space="preserve"> </w:t>
      </w:r>
      <w:r>
        <w:t xml:space="preserve">= Risk-neutral probability V_T &gt; 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Φ(d₁)</w:t>
      </w:r>
      <w:r>
        <w:t xml:space="preserve"> </w:t>
      </w:r>
      <w:r>
        <w:t xml:space="preserve">= Option delta (equity sensitivity to assets)</w:t>
      </w:r>
    </w:p>
    <w:bookmarkEnd w:id="17"/>
    <w:bookmarkStart w:id="18" w:name="equity-volatility-equation"/>
    <w:p>
      <w:pPr>
        <w:pStyle w:val="Heading4"/>
      </w:pPr>
      <w:r>
        <w:t xml:space="preserve">2. Equity Volatility Equation</w:t>
      </w:r>
    </w:p>
    <w:p>
      <w:pPr>
        <w:pStyle w:val="SourceCode"/>
      </w:pPr>
      <w:r>
        <w:rPr>
          <w:rStyle w:val="VerbatimChar"/>
        </w:rPr>
        <w:t xml:space="preserve">σ_{E,t-1} = (V_t/E_t) × Φ(d₁) × σ_{V,t}</w:t>
      </w:r>
    </w:p>
    <w:bookmarkEnd w:id="18"/>
    <w:bookmarkEnd w:id="19"/>
    <w:bookmarkStart w:id="20" w:name="the-d₁-and-d₂-terms"/>
    <w:p>
      <w:pPr>
        <w:pStyle w:val="Heading3"/>
      </w:pPr>
      <w:r>
        <w:t xml:space="preserve">The d₁ and d₂ Terms</w:t>
      </w:r>
    </w:p>
    <w:p>
      <w:pPr>
        <w:pStyle w:val="SourceCode"/>
      </w:pPr>
      <w:r>
        <w:rPr>
          <w:rStyle w:val="VerbatimChar"/>
        </w:rPr>
        <w:t xml:space="preserve">d₁ = [ln(V_t/F_t) + (r_{f,t} + 0.5×σ²_{V,t})×T] / (σ_{V,t}×√T)</w:t>
      </w:r>
      <w:r>
        <w:br/>
      </w:r>
      <w:r>
        <w:rPr>
          <w:rStyle w:val="VerbatimChar"/>
        </w:rPr>
        <w:t xml:space="preserve">d₂ = d₁ - σ_{V,t}×√T</w:t>
      </w:r>
    </w:p>
    <w:p>
      <w:pPr>
        <w:pStyle w:val="FirstParagraph"/>
      </w:pPr>
      <w:r>
        <w:rPr>
          <w:b/>
          <w:bCs/>
        </w:rPr>
        <w:t xml:space="preserve">Derivation of d₂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d₂ = d₁ - σ_{V,t}×√T</w:t>
      </w:r>
      <w:r>
        <w:br/>
      </w:r>
      <w:r>
        <w:rPr>
          <w:rStyle w:val="VerbatimChar"/>
        </w:rPr>
        <w:t xml:space="preserve">   = [ln(V_t/F_t) + (r_{f,t} + 0.5×σ²_{V,t})×T] / (σ_{V,t}×√T) - σ_{V,t}×√T</w:t>
      </w:r>
      <w:r>
        <w:br/>
      </w:r>
      <w:r>
        <w:rPr>
          <w:rStyle w:val="VerbatimChar"/>
        </w:rPr>
        <w:t xml:space="preserve">   = [ln(V_t/F_t) + (r_{f,t} - 0.5×σ²_{V,t})×T] / (σ_{V,t}×√T)</w:t>
      </w:r>
    </w:p>
    <w:bookmarkEnd w:id="20"/>
    <w:bookmarkStart w:id="21" w:name="critical-statement"/>
    <w:p>
      <w:pPr>
        <w:pStyle w:val="Heading3"/>
      </w:pPr>
      <w:r>
        <w:t xml:space="preserve">Critical Statement</w:t>
      </w:r>
    </w:p>
    <w:p>
      <w:pPr>
        <w:pStyle w:val="FirstParagraph"/>
      </w:pPr>
      <w:r>
        <w:rPr>
          <w:b/>
          <w:bCs/>
        </w:rPr>
        <w:t xml:space="preserve">Distance to default equals d₂ when μ = r_f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DD = [ln(V_t/F_t) + (μ - 0.5×σ²_{V,t})×T] / (σ_{V,t}×√T)</w:t>
      </w:r>
      <w:r>
        <w:br/>
      </w:r>
      <w:r>
        <w:br/>
      </w:r>
      <w:r>
        <w:rPr>
          <w:rStyle w:val="VerbatimChar"/>
        </w:rPr>
        <w:t xml:space="preserve">When μ = r_{f,t}:</w:t>
      </w:r>
      <w:r>
        <w:br/>
      </w:r>
      <w:r>
        <w:rPr>
          <w:rStyle w:val="VerbatimChar"/>
        </w:rPr>
        <w:t xml:space="preserve">DD_m = d₂</w:t>
      </w:r>
      <w:r>
        <w:br/>
      </w:r>
      <w:r>
        <w:rPr>
          <w:rStyle w:val="VerbatimChar"/>
        </w:rPr>
        <w:t xml:space="preserve">PD_m = Φ(-d₂)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market-based-approach"/>
    <w:p>
      <w:pPr>
        <w:pStyle w:val="Heading2"/>
      </w:pPr>
      <w:r>
        <w:t xml:space="preserve">Market-Based Approach</w:t>
      </w:r>
    </w:p>
    <w:bookmarkStart w:id="23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Uses current market data to estimate default risk under the</w:t>
      </w:r>
      <w:r>
        <w:t xml:space="preserve"> </w:t>
      </w:r>
      <w:r>
        <w:rPr>
          <w:b/>
          <w:bCs/>
        </w:rPr>
        <w:t xml:space="preserve">risk-neutral (Q-measure)</w:t>
      </w:r>
      <w:r>
        <w:t xml:space="preserve"> </w:t>
      </w:r>
      <w:r>
        <w:t xml:space="preserve">where μ = r_{f,t}.</w:t>
      </w:r>
    </w:p>
    <w:p>
      <w:pPr>
        <w:pStyle w:val="BodyText"/>
      </w:pPr>
      <w:r>
        <w:rPr>
          <w:b/>
          <w:bCs/>
        </w:rPr>
        <w:t xml:space="preserve">Barrier Convention</w:t>
      </w:r>
      <w:r>
        <w:t xml:space="preserve">: F_t = total liabilities (for banks).</w:t>
      </w:r>
    </w:p>
    <w:p>
      <w:pPr>
        <w:pStyle w:val="BodyText"/>
      </w:pPr>
      <w:r>
        <w:rPr>
          <w:b/>
          <w:bCs/>
        </w:rPr>
        <w:t xml:space="preserve">Rationale</w:t>
      </w:r>
      <w:r>
        <w:t xml:space="preserve">: Deposits are liabilities and dominate bank funding. This follows standard practice for financial institutions.</w:t>
      </w:r>
    </w:p>
    <w:p>
      <w:pPr>
        <w:pStyle w:val="BodyText"/>
      </w:pPr>
      <w:r>
        <w:rPr>
          <w:b/>
          <w:bCs/>
        </w:rPr>
        <w:t xml:space="preserve">⏰ Timing Rule</w:t>
      </w:r>
      <w:r>
        <w:t xml:space="preserve">: σ_{E,t-1} uses t-1 only, E_t, F_t, r_{f,t} are at t, unknowns V_t and σ_{V,t} are solved at t, horizon is t to t+1.</w:t>
      </w:r>
    </w:p>
    <w:bookmarkEnd w:id="23"/>
    <w:bookmarkStart w:id="24" w:name="observable-inputs-with-timing"/>
    <w:p>
      <w:pPr>
        <w:pStyle w:val="Heading3"/>
      </w:pPr>
      <w:r>
        <w:t xml:space="preserve">Observable Inputs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 Cap</w:t>
            </w:r>
          </w:p>
        </w:tc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Total share value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Equity Vol</w:t>
            </w:r>
          </w:p>
        </w:tc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Stock volatility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Liabilities</w:t>
            </w:r>
          </w:p>
        </w:tc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Total liabilities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Risk-Free Rate</w:t>
            </w:r>
          </w:p>
        </w:tc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Safe return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Horizon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Analysis period</w:t>
            </w:r>
          </w:p>
        </w:tc>
        <w:tc>
          <w:tcPr/>
          <w:p>
            <w:pPr>
              <w:pStyle w:val="Compact"/>
            </w:pPr>
            <w:r>
              <w:t xml:space="preserve">Years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Data Source Note</w:t>
      </w:r>
      <w:r>
        <w:t xml:space="preserve">: Millions converted to dollars once, not twice.</w:t>
      </w:r>
    </w:p>
    <w:bookmarkEnd w:id="24"/>
    <w:bookmarkStart w:id="25" w:name="solver-process"/>
    <w:p>
      <w:pPr>
        <w:pStyle w:val="Heading3"/>
      </w:pPr>
      <w:r>
        <w:t xml:space="preserve">Solver Process</w:t>
      </w:r>
    </w:p>
    <w:p>
      <w:pPr>
        <w:pStyle w:val="FirstParagraph"/>
      </w:pPr>
      <w:r>
        <w:rPr>
          <w:b/>
          <w:bCs/>
        </w:rPr>
        <w:t xml:space="preserve">Initial Guesses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V₀ = E_t + F_t</w:t>
      </w:r>
      <w:r>
        <w:br/>
      </w:r>
      <w:r>
        <w:rPr>
          <w:rStyle w:val="VerbatimChar"/>
        </w:rPr>
        <w:t xml:space="preserve">σ_{V,0} = σ_{E,t-1}</w:t>
      </w:r>
    </w:p>
    <w:p>
      <w:pPr>
        <w:pStyle w:val="FirstParagraph"/>
      </w:pPr>
      <w:r>
        <w:rPr>
          <w:b/>
          <w:bCs/>
        </w:rPr>
        <w:t xml:space="preserve">Convergence Criteria</w:t>
      </w:r>
      <w:r>
        <w:t xml:space="preserve">:</w:t>
      </w:r>
      <w:r>
        <w:t xml:space="preserve"> </w:t>
      </w:r>
      <w:r>
        <w:t xml:space="preserve">- |E_model - E_t| &lt; 10⁻⁶</w:t>
      </w:r>
      <w:r>
        <w:t xml:space="preserve"> </w:t>
      </w:r>
      <w:r>
        <w:t xml:space="preserve">- |σ_{E,model} - σ_{E,t-1}| &lt; 10⁻⁴</w:t>
      </w:r>
    </w:p>
    <w:p>
      <w:pPr>
        <w:pStyle w:val="BodyText"/>
      </w:pPr>
      <w:r>
        <w:rPr>
          <w:b/>
          <w:bCs/>
        </w:rPr>
        <w:t xml:space="preserve">Solver Gates</w:t>
      </w:r>
      <w:r>
        <w:t xml:space="preserve">:</w:t>
      </w:r>
      <w:r>
        <w:t xml:space="preserve"> </w:t>
      </w:r>
      <w:r>
        <w:t xml:space="preserve">- Only converged solutions proceed to DD_m calculation</w:t>
      </w:r>
      <w:r>
        <w:t xml:space="preserve"> </w:t>
      </w:r>
      <w:r>
        <w:t xml:space="preserve">- Non-converged cases dropped from summaries</w:t>
      </w:r>
      <w:r>
        <w:t xml:space="preserve"> </w:t>
      </w:r>
      <w:r>
        <w:t xml:space="preserve">- Convergence rate reported in output</w:t>
      </w:r>
    </w:p>
    <w:bookmarkEnd w:id="25"/>
    <w:bookmarkStart w:id="26" w:name="market-dd-and-pd-formulas"/>
    <w:p>
      <w:pPr>
        <w:pStyle w:val="Heading3"/>
      </w:pPr>
      <w:r>
        <w:t xml:space="preserve">Market DD and PD Formulas</w:t>
      </w:r>
    </w:p>
    <w:p>
      <w:pPr>
        <w:pStyle w:val="SourceCode"/>
      </w:pPr>
      <w:r>
        <w:rPr>
          <w:rStyle w:val="VerbatimChar"/>
        </w:rPr>
        <w:t xml:space="preserve">DD_m = [ln(V_t/F_t) + (r_{f,t} - 0.5×σ²_{V,t})×T] / (σ_{V,t}×√T) = d₂</w:t>
      </w:r>
      <w:r>
        <w:br/>
      </w:r>
      <w:r>
        <w:br/>
      </w:r>
      <w:r>
        <w:rPr>
          <w:rStyle w:val="VerbatimChar"/>
        </w:rPr>
        <w:t xml:space="preserve">PD_m = Φ(-d₂)  [Q-measure probability]</w:t>
      </w:r>
    </w:p>
    <w:bookmarkEnd w:id="26"/>
    <w:bookmarkStart w:id="27" w:name="market-variables-dictionary-with-timing"/>
    <w:p>
      <w:pPr>
        <w:pStyle w:val="Heading3"/>
      </w:pPr>
      <w:r>
        <w:t xml:space="preserve">Market Variables Dictionary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market_cap</w:t>
            </w:r>
          </w:p>
        </w:tc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Solver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equity_vol</w:t>
            </w:r>
          </w:p>
        </w:tc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  <w:tc>
          <w:tcPr/>
          <w:p>
            <w:pPr>
              <w:pStyle w:val="Compact"/>
            </w:pPr>
            <w:r>
              <w:t xml:space="preserve">Solver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total_liabilities_usd</w:t>
            </w:r>
          </w:p>
        </w:tc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Barrier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rf</w:t>
            </w:r>
          </w:p>
        </w:tc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Drift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asset_value</w:t>
            </w:r>
          </w:p>
        </w:tc>
        <w:tc>
          <w:tcPr/>
          <w:p>
            <w:pPr>
              <w:pStyle w:val="Compact"/>
            </w:pPr>
            <w:r>
              <w:t xml:space="preserve">V_t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Solver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asset_vol</w:t>
            </w:r>
          </w:p>
        </w:tc>
        <w:tc>
          <w:tcPr/>
          <w:p>
            <w:pPr>
              <w:pStyle w:val="Compact"/>
            </w:pPr>
            <w:r>
              <w:t xml:space="preserve">σ_{V,t}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Solver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Std devs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Final metric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PD_m</w:t>
            </w:r>
          </w:p>
        </w:tc>
        <w:tc>
          <w:tcPr/>
          <w:p>
            <w:pPr>
              <w:pStyle w:val="Compact"/>
            </w:pPr>
            <w:r>
              <w:t xml:space="preserve">PD_m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Q-measure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5" w:name="accounting-based-approach"/>
    <w:p>
      <w:pPr>
        <w:pStyle w:val="Heading2"/>
      </w:pPr>
      <w:r>
        <w:t xml:space="preserve">Accounting-Based Approach</w:t>
      </w:r>
    </w:p>
    <w:bookmarkStart w:id="29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Uses balance sheet data with simplified proxies. Provides a</w:t>
      </w:r>
      <w:r>
        <w:t xml:space="preserve"> </w:t>
      </w:r>
      <w:r>
        <w:rPr>
          <w:b/>
          <w:bCs/>
        </w:rPr>
        <w:t xml:space="preserve">P-style score</w:t>
      </w:r>
      <w:r>
        <w:t xml:space="preserve"> </w:t>
      </w:r>
      <w:r>
        <w:t xml:space="preserve">when using μ̂ = r_{i,t-1}.</w:t>
      </w:r>
    </w:p>
    <w:p>
      <w:pPr>
        <w:pStyle w:val="BodyText"/>
      </w:pPr>
      <w:r>
        <w:rPr>
          <w:b/>
          <w:bCs/>
        </w:rPr>
        <w:t xml:space="preserve">Barrier Convention</w:t>
      </w:r>
      <w:r>
        <w:t xml:space="preserve">: F_t = total liabilities (for banks).</w:t>
      </w:r>
    </w:p>
    <w:p>
      <w:pPr>
        <w:pStyle w:val="BodyText"/>
      </w:pPr>
      <w:r>
        <w:rPr>
          <w:b/>
          <w:bCs/>
        </w:rPr>
        <w:t xml:space="preserve">Rationale</w:t>
      </w:r>
      <w:r>
        <w:t xml:space="preserve">: Deposits are liabilities and dominate bank funding. This follows standard practice for financial institutions.</w:t>
      </w:r>
    </w:p>
    <w:p>
      <w:pPr>
        <w:pStyle w:val="BodyText"/>
      </w:pPr>
      <w:r>
        <w:rPr>
          <w:b/>
          <w:bCs/>
        </w:rPr>
        <w:t xml:space="preserve">⏰ Timing Rule</w:t>
      </w:r>
      <w:r>
        <w:t xml:space="preserve">: σ_{E,t-1} uses t-1 only, E_t, F_t are at t, μ̂</w:t>
      </w:r>
      <w:r>
        <w:rPr>
          <w:i/>
          <w:iCs/>
        </w:rPr>
        <w:t xml:space="preserve">t = r</w:t>
      </w:r>
      <w:r>
        <w:t xml:space="preserve">{i,t-1}, unknowns V̂</w:t>
      </w:r>
      <w:r>
        <w:rPr>
          <w:i/>
          <w:iCs/>
        </w:rPr>
        <w:t xml:space="preserve">t and σ̂</w:t>
      </w:r>
      <w:r>
        <w:t xml:space="preserve">{V,t} computed at t, horizon is t to t+1.</w:t>
      </w:r>
    </w:p>
    <w:bookmarkEnd w:id="29"/>
    <w:bookmarkStart w:id="30" w:name="key-simplifications"/>
    <w:p>
      <w:pPr>
        <w:pStyle w:val="Heading3"/>
      </w:pPr>
      <w:r>
        <w:t xml:space="preserve">Key Simplifications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 solver</w:t>
      </w:r>
      <w:r>
        <w:t xml:space="preserve">: Direct formulas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Book values</w:t>
      </w:r>
      <w:r>
        <w:t xml:space="preserve">: From financial statements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Drift</w:t>
      </w:r>
      <w:r>
        <w:t xml:space="preserve">: μ̂ = r_{i,t-1} (previous year’s equity return)</w:t>
      </w:r>
    </w:p>
    <w:bookmarkEnd w:id="30"/>
    <w:bookmarkStart w:id="31" w:name="naive-proxies-bharath-shumway"/>
    <w:p>
      <w:pPr>
        <w:pStyle w:val="Heading3"/>
      </w:pPr>
      <w:r>
        <w:t xml:space="preserve">Naive Proxies (Bharath-Shumway)</w:t>
      </w:r>
    </w:p>
    <w:p>
      <w:pPr>
        <w:pStyle w:val="FirstParagraph"/>
      </w:pPr>
      <w:r>
        <w:rPr>
          <w:b/>
          <w:bCs/>
        </w:rPr>
        <w:t xml:space="preserve">Asset Value Proxy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V̂_t = Ê_t + F_t</w:t>
      </w:r>
    </w:p>
    <w:p>
      <w:pPr>
        <w:pStyle w:val="FirstParagraph"/>
      </w:pPr>
      <w:r>
        <w:rPr>
          <w:b/>
          <w:bCs/>
        </w:rPr>
        <w:t xml:space="preserve">Asset Volatility Proxy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σ̂_{V,t} = (Ê_t/(Ê_t+F_t)) × σ_{E,t-1} + (F_t/(Ê_t+F_t)) × σ̂_{D,t}</w:t>
      </w:r>
      <w:r>
        <w:br/>
      </w:r>
      <w:r>
        <w:br/>
      </w:r>
      <w:r>
        <w:rPr>
          <w:rStyle w:val="VerbatimChar"/>
        </w:rPr>
        <w:t xml:space="preserve">where σ̂_{D,t} = 0.05 + 0.25 × σ_{E,t-1}</w:t>
      </w:r>
    </w:p>
    <w:p>
      <w:pPr>
        <w:pStyle w:val="FirstParagraph"/>
      </w:pPr>
      <w:r>
        <w:rPr>
          <w:b/>
          <w:bCs/>
        </w:rPr>
        <w:t xml:space="preserve">Drift Proxy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μ̂ = r_{i,t-1}  (previous year's equity return)</w:t>
      </w:r>
    </w:p>
    <w:bookmarkEnd w:id="31"/>
    <w:bookmarkStart w:id="32" w:name="equity-proxy-for-banks"/>
    <w:p>
      <w:pPr>
        <w:pStyle w:val="Heading3"/>
      </w:pPr>
      <w:r>
        <w:t xml:space="preserve">Equity Proxy for Banks</w:t>
      </w:r>
    </w:p>
    <w:p>
      <w:pPr>
        <w:pStyle w:val="FirstParagraph"/>
      </w:pPr>
      <w:r>
        <w:rPr>
          <w:b/>
          <w:bCs/>
        </w:rPr>
        <w:t xml:space="preserve">Critical</w:t>
      </w:r>
      <w:r>
        <w:t xml:space="preserve">: Book equity means total equity from balance sheet, not assets minus deposits or debt securities.</w:t>
      </w:r>
    </w:p>
    <w:p>
      <w:pPr>
        <w:pStyle w:val="SourceCode"/>
      </w:pPr>
      <w:r>
        <w:rPr>
          <w:rStyle w:val="VerbatimChar"/>
        </w:rPr>
        <w:t xml:space="preserve">Ê_t = (Price-to-Book)_t × (Total Equity)_t</w:t>
      </w:r>
    </w:p>
    <w:p>
      <w:pPr>
        <w:pStyle w:val="FirstParagraph"/>
      </w:pPr>
      <w:r>
        <w:rPr>
          <w:b/>
          <w:bCs/>
        </w:rPr>
        <w:t xml:space="preserve">Units</w:t>
      </w:r>
      <w:r>
        <w:t xml:space="preserve">: Ensure consistent scaling (millions to dollars once).</w:t>
      </w:r>
    </w:p>
    <w:bookmarkEnd w:id="32"/>
    <w:bookmarkStart w:id="33" w:name="accounting-dd-and-pd-formulas"/>
    <w:p>
      <w:pPr>
        <w:pStyle w:val="Heading3"/>
      </w:pPr>
      <w:r>
        <w:t xml:space="preserve">Accounting DD and PD Formulas</w:t>
      </w:r>
    </w:p>
    <w:p>
      <w:pPr>
        <w:pStyle w:val="SourceCode"/>
      </w:pPr>
      <w:r>
        <w:rPr>
          <w:rStyle w:val="VerbatimChar"/>
        </w:rPr>
        <w:t xml:space="preserve">DD_a = [ln(V̂_t/F_t) + (μ̂ - 0.5×σ̂²_{V,t})×T] / (σ̂_{V,t}×√T)</w:t>
      </w:r>
      <w:r>
        <w:br/>
      </w:r>
      <w:r>
        <w:br/>
      </w:r>
      <w:r>
        <w:rPr>
          <w:rStyle w:val="VerbatimChar"/>
        </w:rPr>
        <w:t xml:space="preserve">PD_a = Φ(-DD_a)  [P-style score]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This is a P-style score.</w:t>
      </w:r>
      <w:r>
        <w:t xml:space="preserve"> </w:t>
      </w:r>
      <w:r>
        <w:rPr>
          <w:b/>
          <w:bCs/>
        </w:rPr>
        <w:t xml:space="preserve">Calibrate to real PD via logit or hazard model if publishing PD.</w:t>
      </w:r>
    </w:p>
    <w:bookmarkEnd w:id="33"/>
    <w:bookmarkStart w:id="34" w:name="X04da286bebc7b3723c8a9c6297aea5223f930ee"/>
    <w:p>
      <w:pPr>
        <w:pStyle w:val="Heading3"/>
      </w:pPr>
      <w:r>
        <w:t xml:space="preserve">Accounting Variables Dictionary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total_equity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Millions 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Book equity source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total_liabilities</w:t>
            </w:r>
          </w:p>
        </w:tc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Barrier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E_proxy</w:t>
            </w:r>
          </w:p>
        </w:tc>
        <w:tc>
          <w:tcPr/>
          <w:p>
            <w:pPr>
              <w:pStyle w:val="Compact"/>
            </w:pPr>
            <w:r>
              <w:t xml:space="preserve">Ê_t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P/B × equity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sigma_E</w:t>
            </w:r>
          </w:p>
        </w:tc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  <w:tc>
          <w:tcPr/>
          <w:p>
            <w:pPr>
              <w:pStyle w:val="Compact"/>
            </w:pPr>
            <w:r>
              <w:t xml:space="preserve">Volatility input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V_hat</w:t>
            </w:r>
          </w:p>
        </w:tc>
        <w:tc>
          <w:tcPr/>
          <w:p>
            <w:pPr>
              <w:pStyle w:val="Compact"/>
            </w:pPr>
            <w:r>
              <w:t xml:space="preserve">V̂_t</w:t>
            </w:r>
          </w:p>
        </w:tc>
        <w:tc>
          <w:tcPr/>
          <w:p>
            <w:pPr>
              <w:pStyle w:val="Compact"/>
            </w:pPr>
            <w:r>
              <w:t xml:space="preserve">USD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Ê_t + F_t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sigma_V_hat</w:t>
            </w:r>
          </w:p>
        </w:tc>
        <w:tc>
          <w:tcPr/>
          <w:p>
            <w:pPr>
              <w:pStyle w:val="Compact"/>
            </w:pPr>
            <w:r>
              <w:t xml:space="preserve">σ̂_{V,t}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Weighted avg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mu_hat</w:t>
            </w:r>
          </w:p>
        </w:tc>
        <w:tc>
          <w:tcPr/>
          <w:p>
            <w:pPr>
              <w:pStyle w:val="Compact"/>
            </w:pPr>
            <w:r>
              <w:t xml:space="preserve">μ̂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  <w:tc>
          <w:tcPr/>
          <w:p>
            <w:pPr>
              <w:pStyle w:val="Compact"/>
            </w:pPr>
            <w:r>
              <w:t xml:space="preserve">r_{i,t-1}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DD_a</w:t>
            </w:r>
          </w:p>
        </w:tc>
        <w:tc>
          <w:tcPr/>
          <w:p>
            <w:pPr>
              <w:pStyle w:val="Compact"/>
            </w:pPr>
            <w:r>
              <w:t xml:space="preserve">DD_a</w:t>
            </w:r>
          </w:p>
        </w:tc>
        <w:tc>
          <w:tcPr/>
          <w:p>
            <w:pPr>
              <w:pStyle w:val="Compact"/>
            </w:pPr>
            <w:r>
              <w:t xml:space="preserve">Std devs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Final metric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PD_a</w:t>
            </w:r>
          </w:p>
        </w:tc>
        <w:tc>
          <w:tcPr/>
          <w:p>
            <w:pPr>
              <w:pStyle w:val="Compact"/>
            </w:pPr>
            <w:r>
              <w:t xml:space="preserve">PD_a</w:t>
            </w:r>
          </w:p>
        </w:tc>
        <w:tc>
          <w:tcPr/>
          <w:p>
            <w:pPr>
              <w:pStyle w:val="Compact"/>
            </w:pPr>
            <w:r>
              <w:t xml:space="preserve">Probability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P-style score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6" w:name="comparing-both-approaches"/>
    <w:p>
      <w:pPr>
        <w:pStyle w:val="Heading2"/>
      </w:pPr>
      <w:r>
        <w:t xml:space="preserve">Comparing Both Approaches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Market (DD_m)</w:t>
            </w:r>
          </w:p>
        </w:tc>
        <w:tc>
          <w:tcPr/>
          <w:p>
            <w:pPr>
              <w:pStyle w:val="Compact"/>
            </w:pPr>
            <w:r>
              <w:t xml:space="preserve">Accounting (DD_a)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Measure</w:t>
            </w:r>
          </w:p>
        </w:tc>
        <w:tc>
          <w:tcPr/>
          <w:p>
            <w:pPr>
              <w:pStyle w:val="Compact"/>
            </w:pPr>
            <w:r>
              <w:t xml:space="preserve">Q-measure (risk-neutral)</w:t>
            </w:r>
          </w:p>
        </w:tc>
        <w:tc>
          <w:tcPr/>
          <w:p>
            <w:pPr>
              <w:pStyle w:val="Compact"/>
            </w:pPr>
            <w:r>
              <w:t xml:space="preserve">P-style score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Drift</w:t>
            </w:r>
          </w:p>
        </w:tc>
        <w:tc>
          <w:tcPr/>
          <w:p>
            <w:pPr>
              <w:pStyle w:val="Compact"/>
            </w:pPr>
            <w:r>
              <w:t xml:space="preserve">μ = r_{f,t}</w:t>
            </w:r>
          </w:p>
        </w:tc>
        <w:tc>
          <w:tcPr/>
          <w:p>
            <w:pPr>
              <w:pStyle w:val="Compact"/>
            </w:pPr>
            <w:r>
              <w:t xml:space="preserve">μ̂ = r_{i,t-1}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 Value</w:t>
            </w:r>
          </w:p>
        </w:tc>
        <w:tc>
          <w:tcPr/>
          <w:p>
            <w:pPr>
              <w:pStyle w:val="Compact"/>
            </w:pPr>
            <w:r>
              <w:t xml:space="preserve">Solved: V_t</w:t>
            </w:r>
          </w:p>
        </w:tc>
        <w:tc>
          <w:tcPr/>
          <w:p>
            <w:pPr>
              <w:pStyle w:val="Compact"/>
            </w:pPr>
            <w:r>
              <w:t xml:space="preserve">Proxy: V̂_t = Ê_t + F_t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Asset Vol</w:t>
            </w:r>
          </w:p>
        </w:tc>
        <w:tc>
          <w:tcPr/>
          <w:p>
            <w:pPr>
              <w:pStyle w:val="Compact"/>
            </w:pPr>
            <w:r>
              <w:t xml:space="preserve">Solved: σ_{V,t}</w:t>
            </w:r>
          </w:p>
        </w:tc>
        <w:tc>
          <w:tcPr/>
          <w:p>
            <w:pPr>
              <w:pStyle w:val="Compact"/>
            </w:pPr>
            <w:r>
              <w:t xml:space="preserve">Proxy: σ̂_{V,t}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Complexity</w:t>
            </w:r>
          </w:p>
        </w:tc>
        <w:tc>
          <w:tcPr/>
          <w:p>
            <w:pPr>
              <w:pStyle w:val="Compact"/>
            </w:pPr>
            <w:r>
              <w:t xml:space="preserve">High (solver)</w:t>
            </w:r>
          </w:p>
        </w:tc>
        <w:tc>
          <w:tcPr/>
          <w:p>
            <w:pPr>
              <w:pStyle w:val="Compact"/>
            </w:pPr>
            <w:r>
              <w:t xml:space="preserve">Low (formulas)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 Case</w:t>
            </w:r>
          </w:p>
        </w:tc>
        <w:tc>
          <w:tcPr/>
          <w:p>
            <w:pPr>
              <w:pStyle w:val="Compact"/>
            </w:pPr>
            <w:r>
              <w:t xml:space="preserve">Trading, market risk</w:t>
            </w:r>
          </w:p>
        </w:tc>
        <w:tc>
          <w:tcPr/>
          <w:p>
            <w:pPr>
              <w:pStyle w:val="Compact"/>
            </w:pPr>
            <w:r>
              <w:t xml:space="preserve">Credit, regulation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8" w:name="results-interpretation"/>
    <w:p>
      <w:pPr>
        <w:pStyle w:val="Heading2"/>
      </w:pPr>
      <w:r>
        <w:t xml:space="preserve">Results Interpretation</w:t>
      </w:r>
    </w:p>
    <w:bookmarkStart w:id="37" w:name="Xe7fa8ae98c86dbc917f40285baacb4458f0a339"/>
    <w:p>
      <w:pPr>
        <w:pStyle w:val="Heading3"/>
      </w:pPr>
      <w:r>
        <w:t xml:space="preserve">Market DD Distribution (1,424 observations, converged only)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</w:t>
            </w:r>
          </w:p>
        </w:tc>
        <w:tc>
          <w:tcPr/>
          <w:p>
            <w:pPr>
              <w:pStyle w:val="Compact"/>
            </w:pPr>
            <w: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Interpretation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10th pct</w:t>
            </w:r>
          </w:p>
        </w:tc>
        <w:tc>
          <w:tcPr/>
          <w:p>
            <w:pPr>
              <w:pStyle w:val="Compact"/>
            </w:pPr>
            <w:r>
              <w:t xml:space="preserve">3.41</w:t>
            </w:r>
          </w:p>
        </w:tc>
        <w:tc>
          <w:tcPr/>
          <w:p>
            <w:pPr>
              <w:pStyle w:val="Compact"/>
            </w:pPr>
            <w:r>
              <w:t xml:space="preserve">Moderate buffer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Median</w:t>
            </w:r>
          </w:p>
        </w:tc>
        <w:tc>
          <w:tcPr/>
          <w:p>
            <w:pPr>
              <w:pStyle w:val="Compact"/>
            </w:pPr>
            <w:r>
              <w:t xml:space="preserve">7.05</w:t>
            </w:r>
          </w:p>
        </w:tc>
        <w:tc>
          <w:tcPr/>
          <w:p>
            <w:pPr>
              <w:pStyle w:val="Compact"/>
            </w:pPr>
            <w:r>
              <w:t xml:space="preserve">Typical: effectively zero PD</w:t>
            </w:r>
          </w:p>
        </w:tc>
      </w:tr>
      <w:tr>
        <w:tc>
          <w:tcPr/>
          <w:p>
            <w:pPr>
              <w:pStyle w:val="Compact"/>
            </w:pPr>
            <w:r>
              <w:t xml:space="preserve">90th pct</w:t>
            </w:r>
          </w:p>
        </w:tc>
        <w:tc>
          <w:tcPr/>
          <w:p>
            <w:pPr>
              <w:pStyle w:val="Compact"/>
            </w:pPr>
            <w:r>
              <w:t xml:space="preserve">12.91</w:t>
            </w:r>
          </w:p>
        </w:tc>
        <w:tc>
          <w:tcPr/>
          <w:p>
            <w:pPr>
              <w:pStyle w:val="Compact"/>
            </w:pPr>
            <w:r>
              <w:t xml:space="preserve">Very safe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Convergence Rate</w:t>
      </w:r>
      <w:r>
        <w:t xml:space="preserve">: Report percentage of converged vs. total observations.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4" w:name="walkthrough-examples"/>
    <w:p>
      <w:pPr>
        <w:pStyle w:val="Heading2"/>
      </w:pPr>
      <w:r>
        <w:t xml:space="preserve">Walkthrough Examples</w:t>
      </w:r>
    </w:p>
    <w:bookmarkStart w:id="40" w:name="example-1-jpmorgan-chase-jpm---2019"/>
    <w:p>
      <w:pPr>
        <w:pStyle w:val="Heading3"/>
      </w:pPr>
      <w:r>
        <w:t xml:space="preserve">Example 1: JPMorgan Chase (JPM) - 2019</w:t>
      </w:r>
    </w:p>
    <w:bookmarkStart w:id="39" w:name="market-approach"/>
    <w:p>
      <w:pPr>
        <w:pStyle w:val="Heading4"/>
      </w:pPr>
      <w:r>
        <w:t xml:space="preserve">Market Approach</w:t>
      </w:r>
    </w:p>
    <w:p>
      <w:pPr>
        <w:pStyle w:val="FirstParagraph"/>
      </w:pPr>
      <w:r>
        <w:rPr>
          <w:b/>
          <w:bCs/>
        </w:rPr>
        <w:t xml:space="preserve">Step 1: Inputs (with timing)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$387.4B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0.227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$516.1B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0.0214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1 year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rPr>
          <w:b/>
          <w:bCs/>
        </w:rPr>
        <w:t xml:space="preserve">Step 2: Solver Output</w:t>
      </w:r>
    </w:p>
    <w:p>
      <w:pPr>
        <w:pStyle w:val="Compact"/>
        <w:numPr>
          <w:ilvl w:val="0"/>
          <w:numId w:val="1005"/>
        </w:numPr>
      </w:pPr>
      <w:r>
        <w:t xml:space="preserve">V_t = $892.6B</w:t>
      </w:r>
    </w:p>
    <w:p>
      <w:pPr>
        <w:pStyle w:val="Compact"/>
        <w:numPr>
          <w:ilvl w:val="0"/>
          <w:numId w:val="1005"/>
        </w:numPr>
      </w:pPr>
      <w:r>
        <w:t xml:space="preserve">σ_{V,t} = 0.099</w:t>
      </w:r>
    </w:p>
    <w:p>
      <w:pPr>
        <w:pStyle w:val="FirstParagraph"/>
      </w:pPr>
      <w:r>
        <w:rPr>
          <w:b/>
          <w:bCs/>
        </w:rPr>
        <w:t xml:space="preserve">Step 3: Calculate DD_m (showing intermediate steps)</w:t>
      </w:r>
    </w:p>
    <w:p>
      <w:pPr>
        <w:pStyle w:val="BodyText"/>
      </w:pPr>
      <w:r>
        <w:t xml:space="preserve">Numerator:</w:t>
      </w:r>
    </w:p>
    <w:p>
      <w:pPr>
        <w:pStyle w:val="SourceCode"/>
      </w:pPr>
      <w:r>
        <w:rPr>
          <w:rStyle w:val="VerbatimChar"/>
        </w:rPr>
        <w:t xml:space="preserve">ln(V_t/F_t) + (r_{f,t} - 0.5×σ²_{V,t})×T</w:t>
      </w:r>
      <w:r>
        <w:br/>
      </w:r>
      <w:r>
        <w:rPr>
          <w:rStyle w:val="VerbatimChar"/>
        </w:rPr>
        <w:t xml:space="preserve">= ln(892.6/516.1) + (0.0214 - 0.5×0.099²)×1</w:t>
      </w:r>
      <w:r>
        <w:br/>
      </w:r>
      <w:r>
        <w:rPr>
          <w:rStyle w:val="VerbatimChar"/>
        </w:rPr>
        <w:t xml:space="preserve">= 0.548 + 0.0165</w:t>
      </w:r>
      <w:r>
        <w:br/>
      </w:r>
      <w:r>
        <w:rPr>
          <w:rStyle w:val="VerbatimChar"/>
        </w:rPr>
        <w:t xml:space="preserve">= 0.564</w:t>
      </w:r>
    </w:p>
    <w:p>
      <w:pPr>
        <w:pStyle w:val="FirstParagraph"/>
      </w:pPr>
      <w:r>
        <w:t xml:space="preserve">Denominator:</w:t>
      </w:r>
    </w:p>
    <w:p>
      <w:pPr>
        <w:pStyle w:val="SourceCode"/>
      </w:pPr>
      <w:r>
        <w:rPr>
          <w:rStyle w:val="VerbatimChar"/>
        </w:rPr>
        <w:t xml:space="preserve">σ_{V,t}×√T = 0.099×1 = 0.099</w:t>
      </w:r>
    </w:p>
    <w:p>
      <w:pPr>
        <w:pStyle w:val="FirstParagraph"/>
      </w:pPr>
      <w:r>
        <w:t xml:space="preserve">DD_m:</w:t>
      </w:r>
    </w:p>
    <w:p>
      <w:pPr>
        <w:pStyle w:val="SourceCode"/>
      </w:pPr>
      <w:r>
        <w:rPr>
          <w:rStyle w:val="VerbatimChar"/>
        </w:rPr>
        <w:t xml:space="preserve">DD_m = 0.564 / 0.099 = 5.70</w:t>
      </w:r>
    </w:p>
    <w:p>
      <w:pPr>
        <w:pStyle w:val="FirstParagraph"/>
      </w:pPr>
      <w:r>
        <w:rPr>
          <w:b/>
          <w:bCs/>
        </w:rPr>
        <w:t xml:space="preserve">Step 4: Calculate PD_m</w:t>
      </w:r>
    </w:p>
    <w:p>
      <w:pPr>
        <w:pStyle w:val="SourceCode"/>
      </w:pPr>
      <w:r>
        <w:rPr>
          <w:rStyle w:val="VerbatimChar"/>
        </w:rPr>
        <w:t xml:space="preserve">PD_m = Φ(-5.70) = 5.99×10⁻⁷% (effectively zero)</w:t>
      </w:r>
    </w:p>
    <w:bookmarkEnd w:id="39"/>
    <w:bookmarkEnd w:id="40"/>
    <w:bookmarkStart w:id="42" w:name="example-2-bank-of-america-bac---2019"/>
    <w:p>
      <w:pPr>
        <w:pStyle w:val="Heading3"/>
      </w:pPr>
      <w:r>
        <w:t xml:space="preserve">Example 2: Bank of America (BAC) - 2019</w:t>
      </w:r>
    </w:p>
    <w:bookmarkStart w:id="41" w:name="market-approach-1"/>
    <w:p>
      <w:pPr>
        <w:pStyle w:val="Heading4"/>
      </w:pPr>
      <w:r>
        <w:t xml:space="preserve">Market Approach</w:t>
      </w:r>
    </w:p>
    <w:p>
      <w:pPr>
        <w:pStyle w:val="FirstParagraph"/>
      </w:pPr>
      <w:r>
        <w:rPr>
          <w:b/>
          <w:bCs/>
        </w:rPr>
        <w:t xml:space="preserve">Step 1: Inputs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E_t</w:t>
            </w:r>
          </w:p>
        </w:tc>
        <w:tc>
          <w:tcPr/>
          <w:p>
            <w:pPr>
              <w:pStyle w:val="Compact"/>
            </w:pPr>
            <w:r>
              <w:t xml:space="preserve">$265.3B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σ_{E,t-1}</w:t>
            </w:r>
          </w:p>
        </w:tc>
        <w:tc>
          <w:tcPr/>
          <w:p>
            <w:pPr>
              <w:pStyle w:val="Compact"/>
            </w:pPr>
            <w:r>
              <w:t xml:space="preserve">0.279</w:t>
            </w:r>
          </w:p>
        </w:tc>
        <w:tc>
          <w:tcPr/>
          <w:p>
            <w:pPr>
              <w:pStyle w:val="Compact"/>
            </w:pPr>
            <w:r>
              <w:t xml:space="preserve">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F_t</w:t>
            </w:r>
          </w:p>
        </w:tc>
        <w:tc>
          <w:tcPr/>
          <w:p>
            <w:pPr>
              <w:pStyle w:val="Compact"/>
            </w:pPr>
            <w:r>
              <w:t xml:space="preserve">$430.2B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r_{f,t}</w:t>
            </w:r>
          </w:p>
        </w:tc>
        <w:tc>
          <w:tcPr/>
          <w:p>
            <w:pPr>
              <w:pStyle w:val="Compact"/>
            </w:pPr>
            <w:r>
              <w:t xml:space="preserve">0.0214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</w:tr>
    </w:tbl>
    <w:p>
      <w:pPr>
        <w:pStyle w:val="BodyText"/>
      </w:pPr>
      <w:r>
        <w:rPr>
          <w:b/>
          <w:bCs/>
        </w:rPr>
        <w:t xml:space="preserve">Step 2: Solver Output</w:t>
      </w:r>
    </w:p>
    <w:p>
      <w:pPr>
        <w:pStyle w:val="Compact"/>
        <w:numPr>
          <w:ilvl w:val="0"/>
          <w:numId w:val="1006"/>
        </w:numPr>
      </w:pPr>
      <w:r>
        <w:t xml:space="preserve">V_t = $686.3B</w:t>
      </w:r>
    </w:p>
    <w:p>
      <w:pPr>
        <w:pStyle w:val="Compact"/>
        <w:numPr>
          <w:ilvl w:val="0"/>
          <w:numId w:val="1006"/>
        </w:numPr>
      </w:pPr>
      <w:r>
        <w:t xml:space="preserve">σ_{V,t} = 0.108</w:t>
      </w:r>
    </w:p>
    <w:p>
      <w:pPr>
        <w:pStyle w:val="FirstParagraph"/>
      </w:pPr>
      <w:r>
        <w:rPr>
          <w:b/>
          <w:bCs/>
        </w:rPr>
        <w:t xml:space="preserve">Step 3: Calculate DD_m (showing intermediate steps)</w:t>
      </w:r>
    </w:p>
    <w:p>
      <w:pPr>
        <w:pStyle w:val="BodyText"/>
      </w:pPr>
      <w:r>
        <w:t xml:space="preserve">Numerator:</w:t>
      </w:r>
    </w:p>
    <w:p>
      <w:pPr>
        <w:pStyle w:val="SourceCode"/>
      </w:pPr>
      <w:r>
        <w:rPr>
          <w:rStyle w:val="VerbatimChar"/>
        </w:rPr>
        <w:t xml:space="preserve">ln(686.3/430.2) + (0.0214 - 0.5×0.108²)×1</w:t>
      </w:r>
      <w:r>
        <w:br/>
      </w:r>
      <w:r>
        <w:rPr>
          <w:rStyle w:val="VerbatimChar"/>
        </w:rPr>
        <w:t xml:space="preserve">= 0.467 + 0.0156</w:t>
      </w:r>
      <w:r>
        <w:br/>
      </w:r>
      <w:r>
        <w:rPr>
          <w:rStyle w:val="VerbatimChar"/>
        </w:rPr>
        <w:t xml:space="preserve">= 0.483</w:t>
      </w:r>
    </w:p>
    <w:p>
      <w:pPr>
        <w:pStyle w:val="FirstParagraph"/>
      </w:pPr>
      <w:r>
        <w:t xml:space="preserve">Denominator:</w:t>
      </w:r>
    </w:p>
    <w:p>
      <w:pPr>
        <w:pStyle w:val="SourceCode"/>
      </w:pPr>
      <w:r>
        <w:rPr>
          <w:rStyle w:val="VerbatimChar"/>
        </w:rPr>
        <w:t xml:space="preserve">σ_{V,t}×√T = 0.108×1 = 0.108</w:t>
      </w:r>
    </w:p>
    <w:p>
      <w:pPr>
        <w:pStyle w:val="FirstParagraph"/>
      </w:pPr>
      <w:r>
        <w:t xml:space="preserve">DD_m:</w:t>
      </w:r>
    </w:p>
    <w:p>
      <w:pPr>
        <w:pStyle w:val="SourceCode"/>
      </w:pPr>
      <w:r>
        <w:rPr>
          <w:rStyle w:val="VerbatimChar"/>
        </w:rPr>
        <w:t xml:space="preserve">DD_m = 0.483 / 0.108 = 4.47</w:t>
      </w:r>
    </w:p>
    <w:p>
      <w:pPr>
        <w:pStyle w:val="FirstParagraph"/>
      </w:pPr>
      <w:r>
        <w:rPr>
          <w:b/>
          <w:bCs/>
        </w:rPr>
        <w:t xml:space="preserve">Step 4: Calculate PD_m</w:t>
      </w:r>
    </w:p>
    <w:p>
      <w:pPr>
        <w:pStyle w:val="SourceCode"/>
      </w:pPr>
      <w:r>
        <w:rPr>
          <w:rStyle w:val="VerbatimChar"/>
        </w:rPr>
        <w:t xml:space="preserve">PD_m = Φ(-4.47) = 0.000391% (3.91×10⁻⁴%)</w:t>
      </w:r>
    </w:p>
    <w:bookmarkEnd w:id="41"/>
    <w:bookmarkEnd w:id="42"/>
    <w:bookmarkStart w:id="43" w:name="comparison"/>
    <w:p>
      <w:pPr>
        <w:pStyle w:val="Heading3"/>
      </w:pPr>
      <w:r>
        <w:t xml:space="preserve">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Bank</w:t>
            </w:r>
          </w:p>
        </w:tc>
        <w:tc>
          <w:tcPr/>
          <w:p>
            <w:pPr>
              <w:pStyle w:val="Compact"/>
            </w:pPr>
            <w:r>
              <w:t xml:space="preserve">DD_m</w:t>
            </w:r>
          </w:p>
        </w:tc>
        <w:tc>
          <w:tcPr/>
          <w:p>
            <w:pPr>
              <w:pStyle w:val="Compact"/>
            </w:pPr>
            <w:r>
              <w:t xml:space="preserve">PD_m</w:t>
            </w:r>
          </w:p>
        </w:tc>
        <w:tc>
          <w:tcPr/>
          <w:p>
            <w:pPr>
              <w:pStyle w:val="Compact"/>
            </w:pPr>
            <w:r>
              <w:t xml:space="preserve">V_t</w:t>
            </w:r>
          </w:p>
        </w:tc>
        <w:tc>
          <w:tcPr/>
          <w:p>
            <w:pPr>
              <w:pStyle w:val="Compact"/>
            </w:pPr>
            <w:r>
              <w:t xml:space="preserve">σ_{V,t}</w:t>
            </w:r>
          </w:p>
        </w:tc>
      </w:tr>
      <w:tr>
        <w:tc>
          <w:tcPr/>
          <w:p>
            <w:pPr>
              <w:pStyle w:val="Compact"/>
            </w:pPr>
            <w:r>
              <w:t xml:space="preserve">JPM</w:t>
            </w:r>
          </w:p>
        </w:tc>
        <w:tc>
          <w:tcPr/>
          <w:p>
            <w:pPr>
              <w:pStyle w:val="Compact"/>
            </w:pPr>
            <w:r>
              <w:t xml:space="preserve">5.70</w:t>
            </w:r>
          </w:p>
        </w:tc>
        <w:tc>
          <w:tcPr/>
          <w:p>
            <w:pPr>
              <w:pStyle w:val="Compact"/>
            </w:pPr>
            <w:r>
              <w:t xml:space="preserve">5.99×10⁻⁷%</w:t>
            </w:r>
          </w:p>
        </w:tc>
        <w:tc>
          <w:tcPr/>
          <w:p>
            <w:pPr>
              <w:pStyle w:val="Compact"/>
            </w:pPr>
            <w:r>
              <w:t xml:space="preserve">$892.6B</w:t>
            </w:r>
          </w:p>
        </w:tc>
        <w:tc>
          <w:tcPr/>
          <w:p>
            <w:pPr>
              <w:pStyle w:val="Compact"/>
            </w:pPr>
            <w:r>
              <w:t xml:space="preserve">9.9%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</w:t>
            </w:r>
          </w:p>
        </w:tc>
        <w:tc>
          <w:tcPr/>
          <w:p>
            <w:pPr>
              <w:pStyle w:val="Compact"/>
            </w:pPr>
            <w:r>
              <w:t xml:space="preserve">4.47</w:t>
            </w:r>
          </w:p>
        </w:tc>
        <w:tc>
          <w:tcPr/>
          <w:p>
            <w:pPr>
              <w:pStyle w:val="Compact"/>
            </w:pPr>
            <w:r>
              <w:t xml:space="preserve">3.91×10⁻⁴%</w:t>
            </w:r>
          </w:p>
        </w:tc>
        <w:tc>
          <w:tcPr/>
          <w:p>
            <w:pPr>
              <w:pStyle w:val="Compact"/>
            </w:pPr>
            <w:r>
              <w:t xml:space="preserve">$686.3B</w:t>
            </w:r>
          </w:p>
        </w:tc>
        <w:tc>
          <w:tcPr/>
          <w:p>
            <w:pPr>
              <w:pStyle w:val="Compact"/>
            </w:pPr>
            <w:r>
              <w:t xml:space="preserve">10.8%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End w:id="44"/>
    <w:bookmarkStart w:id="47" w:name="X14fc52e403948a685fe9ef82af5a7f5e306f203"/>
    <w:p>
      <w:pPr>
        <w:pStyle w:val="Heading2"/>
      </w:pPr>
      <w:r>
        <w:t xml:space="preserve">Appendix: Why d₂ is the z-score of ln V_T vs ln F</w:t>
      </w:r>
    </w:p>
    <w:bookmarkStart w:id="45" w:name="the-question"/>
    <w:p>
      <w:pPr>
        <w:pStyle w:val="Heading3"/>
      </w:pPr>
      <w:r>
        <w:t xml:space="preserve">The Question</w:t>
      </w:r>
    </w:p>
    <w:p>
      <w:pPr>
        <w:pStyle w:val="FirstParagraph"/>
      </w:pPr>
      <w:r>
        <w:t xml:space="preserve">Under the Merton model, asset value V_t evolves as:</w:t>
      </w:r>
    </w:p>
    <w:p>
      <w:pPr>
        <w:pStyle w:val="SourceCode"/>
      </w:pPr>
      <w:r>
        <w:rPr>
          <w:rStyle w:val="VerbatimChar"/>
        </w:rPr>
        <w:t xml:space="preserve">V_T = V_t × exp[(μ - 0.5×σ²_V)×T + σ_V×√T×Z]</w:t>
      </w:r>
    </w:p>
    <w:p>
      <w:pPr>
        <w:pStyle w:val="FirstParagraph"/>
      </w:pPr>
      <w:r>
        <w:t xml:space="preserve">where Z ~ N(0,1). Taking logs:</w:t>
      </w:r>
    </w:p>
    <w:p>
      <w:pPr>
        <w:pStyle w:val="SourceCode"/>
      </w:pPr>
      <w:r>
        <w:rPr>
          <w:rStyle w:val="VerbatimChar"/>
        </w:rPr>
        <w:t xml:space="preserve">ln V_T = ln V_t + (μ - 0.5×σ²_V)×T + σ_V×√T×Z</w:t>
      </w:r>
    </w:p>
    <w:p>
      <w:pPr>
        <w:pStyle w:val="FirstParagraph"/>
      </w:pPr>
      <w:r>
        <w:t xml:space="preserve">Default occurs when V_T &lt; F, or equivalently ln V_T &lt; ln F.</w:t>
      </w:r>
    </w:p>
    <w:bookmarkEnd w:id="45"/>
    <w:bookmarkStart w:id="46" w:name="the-z-score"/>
    <w:p>
      <w:pPr>
        <w:pStyle w:val="Heading3"/>
      </w:pPr>
      <w:r>
        <w:t xml:space="preserve">The z-score</w:t>
      </w:r>
    </w:p>
    <w:p>
      <w:pPr>
        <w:pStyle w:val="FirstParagraph"/>
      </w:pPr>
      <w:r>
        <w:t xml:space="preserve">The z-score measures how many standard deviations ln V_T is above ln F:</w:t>
      </w:r>
    </w:p>
    <w:p>
      <w:pPr>
        <w:pStyle w:val="SourceCode"/>
      </w:pPr>
      <w:r>
        <w:rPr>
          <w:rStyle w:val="VerbatimChar"/>
        </w:rPr>
        <w:t xml:space="preserve">z = [E[ln V_T] - ln F] / SD[ln V_T]</w:t>
      </w:r>
      <w:r>
        <w:br/>
      </w:r>
      <w:r>
        <w:rPr>
          <w:rStyle w:val="VerbatimChar"/>
        </w:rPr>
        <w:t xml:space="preserve">  = [ln V_t + (μ - 0.5×σ²_V)×T - ln F] / (σ_V×√T)</w:t>
      </w:r>
      <w:r>
        <w:br/>
      </w:r>
      <w:r>
        <w:rPr>
          <w:rStyle w:val="VerbatimChar"/>
        </w:rPr>
        <w:t xml:space="preserve">  = [ln(V_t/F) + (μ - 0.5×σ²_V)×T] / (σ_V×√T)</w:t>
      </w:r>
      <w:r>
        <w:br/>
      </w:r>
      <w:r>
        <w:rPr>
          <w:rStyle w:val="VerbatimChar"/>
        </w:rPr>
        <w:t xml:space="preserve">  = DD</w:t>
      </w:r>
    </w:p>
    <w:p>
      <w:pPr>
        <w:pStyle w:val="FirstParagraph"/>
      </w:pPr>
      <w:r>
        <w:t xml:space="preserve">When μ = r_f (risk-neutral drift):</w:t>
      </w:r>
    </w:p>
    <w:p>
      <w:pPr>
        <w:pStyle w:val="SourceCode"/>
      </w:pPr>
      <w:r>
        <w:rPr>
          <w:rStyle w:val="VerbatimChar"/>
        </w:rPr>
        <w:t xml:space="preserve">z = d₂</w:t>
      </w:r>
    </w:p>
    <w:p>
      <w:pPr>
        <w:pStyle w:val="FirstParagraph"/>
      </w:pPr>
      <w:r>
        <w:t xml:space="preserve">Therefore,</w:t>
      </w:r>
      <w:r>
        <w:t xml:space="preserve"> </w:t>
      </w:r>
      <w:r>
        <w:rPr>
          <w:b/>
          <w:bCs/>
        </w:rPr>
        <w:t xml:space="preserve">d₂ is the standardized distance between expected log asset value and log debt level</w:t>
      </w:r>
      <w:r>
        <w:t xml:space="preserve">, measured in volatility units. The probability of default is:</w:t>
      </w:r>
    </w:p>
    <w:p>
      <w:pPr>
        <w:pStyle w:val="SourceCode"/>
      </w:pPr>
      <w:r>
        <w:rPr>
          <w:rStyle w:val="VerbatimChar"/>
        </w:rPr>
        <w:t xml:space="preserve">P(ln V_T &lt; ln F) = P(Z &lt; -d₂) = Φ(-d₂)</w:t>
      </w:r>
    </w:p>
    <w:p>
      <w:pPr>
        <w:pStyle w:val="FirstParagraph"/>
      </w:pPr>
      <w:r>
        <w:t xml:space="preserve">This is why DD = d₂ and PD = Φ(-d₂) under the risk-neutral measure.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</w:pPr>
      <w:r>
        <w:t xml:space="preserve">Merton, R. C. (1974).</w:t>
      </w:r>
      <w:r>
        <w:t xml:space="preserve"> </w:t>
      </w:r>
      <w:r>
        <w:t xml:space="preserve">“On the Pricing of Corporate Debt: The Risk Structure of Interest Rates.”</w:t>
      </w:r>
      <w:r>
        <w:t xml:space="preserve"> </w:t>
      </w:r>
      <w:r>
        <w:rPr>
          <w:i/>
          <w:iCs/>
        </w:rPr>
        <w:t xml:space="preserve">Journal of Finance</w:t>
      </w:r>
      <w:r>
        <w:t xml:space="preserve">, 29(2), 449-470.</w:t>
      </w:r>
    </w:p>
    <w:p>
      <w:pPr>
        <w:numPr>
          <w:ilvl w:val="0"/>
          <w:numId w:val="1007"/>
        </w:numPr>
      </w:pPr>
      <w:r>
        <w:t xml:space="preserve">Bharath, S. T., &amp; Shumway, T. (2008).</w:t>
      </w:r>
      <w:r>
        <w:t xml:space="preserve"> </w:t>
      </w:r>
      <w:r>
        <w:t xml:space="preserve">“Forecasting Default with the Merton Distance to Default Model.”</w:t>
      </w:r>
      <w:r>
        <w:t xml:space="preserve"> </w:t>
      </w:r>
      <w:r>
        <w:rPr>
          <w:i/>
          <w:iCs/>
        </w:rPr>
        <w:t xml:space="preserve">Review of Financial Studies</w:t>
      </w:r>
      <w:r>
        <w:t xml:space="preserve">, 21(3), 1339-1369.</w:t>
      </w:r>
    </w:p>
    <w:p>
      <w:pPr>
        <w:numPr>
          <w:ilvl w:val="0"/>
          <w:numId w:val="1007"/>
        </w:numPr>
      </w:pPr>
      <w:r>
        <w:t xml:space="preserve">Tepe, M., Thastrom, P., and Chang, R. (2022).</w:t>
      </w:r>
      <w:r>
        <w:t xml:space="preserve"> </w:t>
      </w:r>
      <w:r>
        <w:t xml:space="preserve">“How Does ESG Activities Affect Default Risk.”</w:t>
      </w:r>
      <w:r>
        <w:t xml:space="preserve"> </w:t>
      </w:r>
      <w:r>
        <w:t xml:space="preserve">FI Consulting White Paper.</w:t>
      </w:r>
    </w:p>
    <w:p>
      <w:pPr>
        <w:numPr>
          <w:ilvl w:val="0"/>
          <w:numId w:val="1007"/>
        </w:numPr>
      </w:pPr>
      <w:r>
        <w:t xml:space="preserve">Crosbie, P., &amp; Bohn, J. (2003).</w:t>
      </w:r>
      <w:r>
        <w:t xml:space="preserve"> </w:t>
      </w:r>
      <w:r>
        <w:t xml:space="preserve">“Modeling Default Risk.”</w:t>
      </w:r>
      <w:r>
        <w:t xml:space="preserve"> </w:t>
      </w:r>
      <w:r>
        <w:t xml:space="preserve">Moody’s KMV Technical Document.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2025-10-04T09:38:57Z</dcterms:created>
  <dcterms:modified xsi:type="dcterms:W3CDTF">2025-10-04T09:38:57Z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