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deployment, and diagnostic findings from a 40-item pre-course financial risk literacy assessment for QUIN 102 at Loyola University Chicago. The instrument spans three knowledge domains (Borrowing and Credit, Risk Management, and Investment and Risk) using 26 scored and 14 unscored anchor items. A Supplemental Diagnostic Module (SDM-10) adaptively selects up to 10 open-ended follow-up items based on each student's anchor performance; an AI-assisted rubric classifies responses into misconception, knowledge gap, and selection error categories. During the Spring 2026 pilot, 354 research-consented students completed the assessment. The mean anchor score was 67.0% (SD = 17.9%), with notable variation across domains. Among 493 scored diagnostic responses, 53.9% reflected misconceptions, 31.9% selection errors, and 14.2% knowledge gaps. The selection error finding is central: among students who answered incorrectly with high confidence, nearly one in three demonstrated correct understanding in their open-ended explanation, indicating that raw MCQ scores systematically misrepresent student knowledge on format-sensitive items. The diagnostic results yield 10 specific course improvement recommendations, spanning instructional content, instrument revision, and delivery changes, each anchored to evidence and paired with a Paper 2 evaluation criterion. We outline limitations of the current single-cohort design and preview a planned validation study that will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Assessment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Variant Bank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Pipeline Overview and Illustrative Walkthrough</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Adaptive Selection and Diagnostic Priority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Sample Demographics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7.1 </w:t>
      </w:r>
      <w:r>
        <w:rPr>
          <w:rFonts w:ascii="Times New Roman" w:cs="Times New Roman" w:eastAsia="Times New Roman" w:hAnsi="Times New Roman"/>
          <w:color w:val="0563C1"/>
          <w:sz w:val="24"/>
          <w:szCs w:val="24"/>
          <w:u w:val="single"/>
        </w:rPr>
        <w:t xml:space="preserve">Anchor Score Distribution and Domain Breakdown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7.2 </w:t>
      </w:r>
      <w:r>
        <w:rPr>
          <w:rFonts w:ascii="Times New Roman" w:cs="Times New Roman" w:eastAsia="Times New Roman" w:hAnsi="Times New Roman"/>
          <w:color w:val="0563C1"/>
          <w:sz w:val="24"/>
          <w:szCs w:val="24"/>
          <w:u w:val="single"/>
        </w:rPr>
        <w:t xml:space="preserve">Confidence Calibration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7.3 </w:t>
      </w:r>
      <w:r>
        <w:rPr>
          <w:rFonts w:ascii="Times New Roman" w:cs="Times New Roman" w:eastAsia="Times New Roman" w:hAnsi="Times New Roman"/>
          <w:color w:val="0563C1"/>
          <w:sz w:val="24"/>
          <w:szCs w:val="24"/>
          <w:u w:val="single"/>
        </w:rPr>
        <w:t xml:space="preserve">Diagnostic Classification: Diagnose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7.4 </w:t>
      </w:r>
      <w:r>
        <w:rPr>
          <w:rFonts w:ascii="Times New Roman" w:cs="Times New Roman" w:eastAsia="Times New Roman" w:hAnsi="Times New Roman"/>
          <w:color w:val="0563C1"/>
          <w:sz w:val="24"/>
          <w:szCs w:val="24"/>
          <w:u w:val="single"/>
        </w:rPr>
        <w:t xml:space="preserve">Diagnostic Classification: Confirm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7.5 </w:t>
      </w:r>
      <w:r>
        <w:rPr>
          <w:rFonts w:ascii="Times New Roman" w:cs="Times New Roman" w:eastAsia="Times New Roman" w:hAnsi="Times New Roman"/>
          <w:color w:val="0563C1"/>
          <w:sz w:val="24"/>
          <w:szCs w:val="24"/>
          <w:u w:val="single"/>
        </w:rPr>
        <w:t xml:space="preserve">Misconception Clusters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7.6 </w:t>
      </w:r>
      <w:r>
        <w:rPr>
          <w:rFonts w:ascii="Times New Roman" w:cs="Times New Roman" w:eastAsia="Times New Roman" w:hAnsi="Times New Roman"/>
          <w:color w:val="0563C1"/>
          <w:sz w:val="24"/>
          <w:szCs w:val="24"/>
          <w:u w:val="single"/>
        </w:rPr>
        <w:t xml:space="preserve">Selection Error Patterns and Item Revision Targets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7.7 </w:t>
      </w:r>
      <w:r>
        <w:rPr>
          <w:rFonts w:ascii="Times New Roman" w:cs="Times New Roman" w:eastAsia="Times New Roman" w:hAnsi="Times New Roman"/>
          <w:color w:val="0563C1"/>
          <w:sz w:val="24"/>
          <w:szCs w:val="24"/>
          <w:u w:val="single"/>
        </w:rPr>
        <w:t xml:space="preserve">AI Scoring Validation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8.1 </w:t>
      </w:r>
      <w:r>
        <w:rPr>
          <w:rFonts w:ascii="Times New Roman" w:cs="Times New Roman" w:eastAsia="Times New Roman" w:hAnsi="Times New Roman"/>
          <w:color w:val="0563C1"/>
          <w:sz w:val="24"/>
          <w:szCs w:val="24"/>
          <w:u w:val="single"/>
        </w:rPr>
        <w:t xml:space="preserve">Key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8.2 </w:t>
      </w:r>
      <w:r>
        <w:rPr>
          <w:rFonts w:ascii="Times New Roman" w:cs="Times New Roman" w:eastAsia="Times New Roman" w:hAnsi="Times New Roman"/>
          <w:color w:val="0563C1"/>
          <w:sz w:val="24"/>
          <w:szCs w:val="24"/>
          <w:u w:val="single"/>
        </w:rPr>
        <w:t xml:space="preserve">Course Improvement Recommendations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8.3 </w:t>
      </w:r>
      <w:r>
        <w:rPr>
          <w:rFonts w:ascii="Times New Roman" w:cs="Times New Roman" w:eastAsia="Times New Roman" w:hAnsi="Times New Roman"/>
          <w:color w:val="0563C1"/>
          <w:sz w:val="24"/>
          <w:szCs w:val="24"/>
          <w:u w:val="single"/>
        </w:rPr>
        <w:t xml:space="preserve">Implications for Risk Literacy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8.4 </w:t>
      </w:r>
      <w:r>
        <w:rPr>
          <w:rFonts w:ascii="Times New Roman" w:cs="Times New Roman" w:eastAsia="Times New Roman" w:hAnsi="Times New Roman"/>
          <w:color w:val="0563C1"/>
          <w:sz w:val="24"/>
          <w:szCs w:val="24"/>
          <w:u w:val="single"/>
        </w:rPr>
        <w:t xml:space="preserve">Oral Diagnostics as Future Modality</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F: Technical Implementation</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10).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(interest compounding, inflation, and risk diversification)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Although the construct is widely acknowledged,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(knowledge, behavior, and attitudes)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(interest rates, inflation, diversification, compound interest, and bond pricing)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(exponential growth bias, the pervasive tendency to linearize exponential functions)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(scoring above average on perceived knowledge but failing basic literacy questions)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182-variant item bank (see Appendix 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(knowledge score, confidence calibration, and open-ended classification)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Assessment Pipeline</w:t>
      </w:r>
    </w:p>
    <w:p>
      <w:pPr>
        <w:pStyle w:val="Heading2"/>
        <w:spacing w:before="360" w:after="180"/>
      </w:pPr>
      <w:r>
        <w:rPr>
          <w:rFonts w:ascii="Times New Roman" w:cs="Times New Roman" w:eastAsia="Times New Roman" w:hAnsi="Times New Roman"/>
          <w:sz w:val="24"/>
          <w:szCs w:val="24"/>
        </w:rPr>
        <w:t xml:space="preserve">4.1 Variant Bank Design</w:t>
      </w:r>
    </w:p>
    <w:p>
      <w:pPr>
        <w:spacing w:line="360" w:after="200"/>
      </w:pPr>
      <w:r>
        <w:rPr>
          <w:rFonts w:ascii="Times New Roman" w:cs="Times New Roman" w:eastAsia="Times New Roman" w:hAnsi="Times New Roman"/>
          <w:sz w:val="24"/>
          <w:szCs w:val="24"/>
        </w:rPr>
        <w:t xml:space="preserve">Before describing the selection algorithm, we explain how the follow-up items were constructed. Each of the 26 anchor knowledge items has a set of pre-written variants stored in a 182-row item bank (see Appendix E). Variants were created by varying two axes only: </w:t>
      </w:r>
      <w:r>
        <w:rPr>
          <w:rFonts w:ascii="Times New Roman" w:cs="Times New Roman" w:eastAsia="Times New Roman" w:hAnsi="Times New Roman"/>
          <w:b/>
          <w:bCs/>
          <w:sz w:val="24"/>
          <w:szCs w:val="24"/>
        </w:rPr>
        <w:t xml:space="preserve">response format</w:t>
      </w:r>
      <w:r>
        <w:rPr>
          <w:rFonts w:ascii="Times New Roman" w:cs="Times New Roman" w:eastAsia="Times New Roman" w:hAnsi="Times New Roman"/>
          <w:sz w:val="24"/>
          <w:szCs w:val="24"/>
        </w:rPr>
        <w:t xml:space="preserve"> (multiple-choice, True/False, or open response) and </w:t>
      </w:r>
      <w:r>
        <w:rPr>
          <w:rFonts w:ascii="Times New Roman" w:cs="Times New Roman" w:eastAsia="Times New Roman" w:hAnsi="Times New Roman"/>
          <w:b/>
          <w:bCs/>
          <w:sz w:val="24"/>
          <w:szCs w:val="24"/>
        </w:rPr>
        <w:t xml:space="preserve">level of understanding probed</w:t>
      </w:r>
      <w:r>
        <w:rPr>
          <w:rFonts w:ascii="Times New Roman" w:cs="Times New Roman" w:eastAsia="Times New Roman" w:hAnsi="Times New Roman"/>
          <w:sz w:val="24"/>
          <w:szCs w:val="24"/>
        </w:rPr>
        <w:t xml:space="preserve"> (recognize/select, apply/transfer, or explain reasoning). Table 4.1 shows the resulting design space.</w:t>
      </w:r>
    </w:p>
    <w:p>
      <w:pPr>
        <w:spacing w:line="360" w:after="200"/>
      </w:pPr>
      <w:r>
        <w:rPr>
          <w:rFonts w:ascii="Times New Roman" w:cs="Times New Roman" w:eastAsia="Times New Roman" w:hAnsi="Times New Roman"/>
          <w:b/>
          <w:bCs/>
          <w:sz w:val="24"/>
          <w:szCs w:val="24"/>
        </w:rPr>
        <w:t xml:space="preserve">Table 4.1: Variant bank design space: format vs. level of understanding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Level of understanding</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Multiple-choice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True/False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Open response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Recognize/select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item (scored)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variant (same concept)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Apply/transfer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Explain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 (incorrect + high confidence) or Open_Confirm (correct + low confidence)</w:t>
            </w:r>
          </w:p>
        </w:tc>
      </w:tr>
    </w:tbl>
    <w:p>
      <w:pPr>
        <w:spacing w:after="200"/>
      </w:pPr>
    </w:p>
    <w:p>
      <w:pPr>
        <w:spacing w:line="360" w:after="200"/>
      </w:pPr>
      <w:r>
        <w:rPr>
          <w:rFonts w:ascii="Times New Roman" w:cs="Times New Roman" w:eastAsia="Times New Roman" w:hAnsi="Times New Roman"/>
          <w:sz w:val="24"/>
          <w:szCs w:val="24"/>
        </w:rPr>
        <w:t xml:space="preserve">The closed-format variants (multiple-choice and True/False) test recognition and application at increasing transfer distance from the anchor item. Open-response variants occupy the explain-reasoning row exclusively and serve as the primary diagnostic instruments.</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is assigned when a student answers the anchor item incorrectly with high confidence. The student is asked to explain the reasoning behind the chosen answer. The response is classified into one of three categories: misconception (a specific wrong mental model), knowledge gap (absence of knowledge), or selection error (correct understanding despite the wrong answer choice).</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is assigned when a student answers the anchor item correctly with low confidence. The student is asked to explain why the correct answer holds. The response is classified as verified (genuine understanding), partial (incomplete reasoning), or likely guess (no substantive understanding despite the correct answer).</w:t>
      </w:r>
    </w:p>
    <w:p>
      <w:pPr>
        <w:spacing w:line="360" w:after="200"/>
      </w:pPr>
      <w:r>
        <w:rPr>
          <w:rFonts w:ascii="Times New Roman" w:cs="Times New Roman" w:eastAsia="Times New Roman" w:hAnsi="Times New Roman"/>
          <w:sz w:val="24"/>
          <w:szCs w:val="24"/>
        </w:rPr>
        <w:t xml:space="preserve">Open_Diagnose and Open_Confirm are alternative follow-ups triggered by different anchor states; they are not sequential steps applied to the same item.</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open-ended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4.2 Pipeline Overview and Illustrative Walkthrough</w:t>
      </w:r>
    </w:p>
    <w:p>
      <w:pPr>
        <w:spacing w:line="360" w:after="200"/>
      </w:pPr>
      <w:r>
        <w:rPr>
          <w:rFonts w:ascii="Times New Roman" w:cs="Times New Roman" w:eastAsia="Times New Roman" w:hAnsi="Times New Roman"/>
          <w:sz w:val="24"/>
          <w:szCs w:val="24"/>
        </w:rPr>
        <w:t xml:space="preserve">As described in Section 4.1, SDM selection chooses from pre-written variants that vary by format and level of understanding. The SDM-10 pipeline operates in three stages: (1) compute a diagnostic priority for each concept area based on the student's answer and confidence, (2) select up to 10 follow-up items from the variant bank ranked by priority (targeting 10, delivering 5–10 depending on available high-priority concepts), and (3) score any open-ended responses using an AI-assisted rubric aligned to the misconception taxonomy. Confidence is captured on a three-level scale (1 = low, 2 = mid, 3 = high). For any given anchor item, a student receives at most one follow-up: either an Open_Diagnose (if the anchor answer was incorrect with high confidence) or an Open_Confirm (if correct with low confidence), but never both. Two illustrative cases show how the pipeline works in practice on two different anchor items.</w:t>
      </w:r>
    </w:p>
    <w:p>
      <w:pPr>
        <w:spacing w:line="360" w:after="200"/>
      </w:pPr>
      <w:r>
        <w:rPr>
          <w:rFonts w:ascii="Times New Roman" w:cs="Times New Roman" w:eastAsia="Times New Roman" w:hAnsi="Times New Roman"/>
          <w:b/>
          <w:bCs/>
          <w:sz w:val="24"/>
          <w:szCs w:val="24"/>
        </w:rPr>
        <w:t xml:space="preserve">Case A: Open_Diagnose (incorrect + high confidence).</w:t>
      </w:r>
      <w:r>
        <w:rPr>
          <w:rFonts w:ascii="Times New Roman" w:cs="Times New Roman" w:eastAsia="Times New Roman" w:hAnsi="Times New Roman"/>
          <w:sz w:val="24"/>
          <w:szCs w:val="24"/>
        </w:rPr>
        <w:t xml:space="preserve"> A student encounters Q6, which asks what a "successful effort to lower inflation" would likely be accompanied by. The student selects "a decrease in the general level of prices" (the incorrect answer) and reports high confidence. Because the combination of incorrectness and high confidence produces a high diagnostic priority, the algorithm assigns an Open_Diagnose variant for the Inflation (Lowering) concept area. The student sees an open-ended prompt: </w:t>
      </w:r>
      <w:r>
        <w:rPr>
          <w:rFonts w:ascii="Times New Roman" w:cs="Times New Roman" w:eastAsia="Times New Roman" w:hAnsi="Times New Roman"/>
          <w:i/>
          <w:iCs/>
          <w:sz w:val="24"/>
          <w:szCs w:val="24"/>
        </w:rPr>
        <w:t xml:space="preserve">"You chose 'a decrease in the general level of prices.' In your own words, explain what happens to prices when inflation is lowered."</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"If inflation goes down, prices should go down too, that's what lower inflation means."</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(INF-01: confuses a decrease in the rate of price increase with an actual decrease in prices) and assigns taxonomy codes. The classification distinguishes this from a knowledge gap (the student has an active belief, not an absence of knowledge) and from a selection error (the student's reasoning is consistent with the wrong answer, not inconsistent with it).</w:t>
      </w:r>
    </w:p>
    <w:p>
      <w:pPr>
        <w:spacing w:line="360" w:after="200"/>
      </w:pPr>
      <w:r>
        <w:rPr>
          <w:rFonts w:ascii="Times New Roman" w:cs="Times New Roman" w:eastAsia="Times New Roman" w:hAnsi="Times New Roman"/>
          <w:b/>
          <w:bCs/>
          <w:sz w:val="24"/>
          <w:szCs w:val="24"/>
        </w:rPr>
        <w:t xml:space="preserve">Case B: Open_Confirm (correct + low confidence).</w:t>
      </w:r>
      <w:r>
        <w:rPr>
          <w:rFonts w:ascii="Times New Roman" w:cs="Times New Roman" w:eastAsia="Times New Roman" w:hAnsi="Times New Roman"/>
          <w:sz w:val="24"/>
          <w:szCs w:val="24"/>
        </w:rPr>
        <w:t xml:space="preserve"> On a separate anchor item, the same student answers Q29 correctly ("bond prices fall when interest rates rise") but reports low confidence. Because a correct answer paired with low confidence leaves residual uncertainty about whether the student genuinely understands the concept, the algorithm assigns an Open_Confirm variant. The prompt asks: </w:t>
      </w:r>
      <w:r>
        <w:rPr>
          <w:rFonts w:ascii="Times New Roman" w:cs="Times New Roman" w:eastAsia="Times New Roman" w:hAnsi="Times New Roman"/>
          <w:i/>
          <w:iCs/>
          <w:sz w:val="24"/>
          <w:szCs w:val="24"/>
        </w:rPr>
        <w:t xml:space="preserve">"You said bond prices typically fall when interest rates rise. In your own words, explain why this relationship holds."</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"I'm not really sure, I think I read it somewhere but I don't remember why."</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likely guess</w:t>
      </w:r>
      <w:r>
        <w:rPr>
          <w:rFonts w:ascii="Times New Roman" w:cs="Times New Roman" w:eastAsia="Times New Roman" w:hAnsi="Times New Roman"/>
          <w:sz w:val="24"/>
          <w:szCs w:val="24"/>
        </w:rPr>
        <w:t xml:space="preserve">: the student cannot articulate the reasoning behind the correct answer. Without this follow-up, the anchor score of 100% on Q29 would overstate the student's understanding.</w:t>
      </w:r>
    </w:p>
    <w:p>
      <w:pPr>
        <w:spacing w:line="360" w:after="200"/>
      </w:pPr>
      <w:r>
        <w:rPr>
          <w:rFonts w:ascii="Times New Roman" w:cs="Times New Roman" w:eastAsia="Times New Roman" w:hAnsi="Times New Roman"/>
          <w:sz w:val="24"/>
          <w:szCs w:val="24"/>
        </w:rPr>
        <w:t xml:space="preserve">Together, these two cases illustrate the SDM-10's central contribution: standard MCQ scores classify responses as simply correct or incorrect, while the diagnostic module reveals whether incorrect answers reflect misconceptions, knowledge gaps, or format-induced errors, and whether correct answers reflect genuine understanding or fortunate guessing.</w:t>
      </w:r>
    </w:p>
    <w:p>
      <w:pPr>
        <w:pStyle w:val="Heading2"/>
        <w:spacing w:before="360" w:after="180"/>
      </w:pPr>
      <w:r>
        <w:rPr>
          <w:rFonts w:ascii="Times New Roman" w:cs="Times New Roman" w:eastAsia="Times New Roman" w:hAnsi="Times New Roman"/>
          <w:sz w:val="24"/>
          <w:szCs w:val="24"/>
        </w:rPr>
        <w:t xml:space="preserve">4.3 Adaptive Selection and Diagnostic Priority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182 variants across 26 anchor items (see Appendix E) using an information deficit model that prioritizes subcategories where the anchor response left the most residual uncertainty about the student's understanding. The selection algorithm computes a diagnostic priority score for each of the 26 knowledge subcategories based on correctness, confidence, and item format (True/False vs. multiple choice). Higher scores indicate greater residual uncertainty; incorrect responses with high confidence receive the highest priority, signaling a likely misconception. The format-aware adjustment reflects differential guessing probability (50% for True/False vs. ~25% for MCQ). A three-phase selection procedure enforces domain minimums, fills remaining slots by descending priority, and applies an understanding-verification fallback when fewer than 10 subcategories are flagged. Open-ended items are capped at three per student to limit response burden. Once a subcategory is selected, the specific variant type is determined by the combination of correctness and confidence: six types in total (Open_Diagnose, Open_Confirm, Lower_MCQ, Lower_TF, Same_MCQ, Higher_MCQ), as specified in Appendix A (Table A.3). See Appendix A for the complete selection specification.</w:t>
      </w:r>
    </w:p>
    <w:p>
      <w:pPr>
        <w:pStyle w:val="Heading2"/>
        <w:spacing w:before="360" w:after="180"/>
      </w:pPr>
      <w:r>
        <w:rPr>
          <w:rFonts w:ascii="Times New Roman" w:cs="Times New Roman" w:eastAsia="Times New Roman" w:hAnsi="Times New Roman"/>
          <w:sz w:val="24"/>
          <w:szCs w:val="24"/>
        </w:rPr>
        <w:t xml:space="preserve">4.4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OpenRouter). The model was selected through an 11-model concordance protocol evaluating schema compliance, error rate, classification nuance, throughput, and cost (Appendix D). Each response is processed with an item-specific prompt containing anchor question context, the student's answer and confidence, applicable misconception families, calibration examples, and a structured decision tree. The model returns a JSON classification including diagnosis type, taxonomy codes, credit score, confidence level, evidence quote, and reasoning summary. All item selection decisions are deterministic and rule-based; the language model is used only for open-ended response classification.</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spacing w:line="360" w:after="200"/>
      </w:pPr>
      <w:r>
        <w:rPr>
          <w:rFonts w:ascii="Times New Roman" w:cs="Times New Roman" w:eastAsia="Times New Roman" w:hAnsi="Times New Roman"/>
          <w:sz w:val="24"/>
          <w:szCs w:val="24"/>
        </w:rPr>
        <w:t xml:space="preserve">The platform architecture (Next.js 14, PostgreSQL 15, PgBouncer) and student authentication protocol (one-way SHA-256 hashing with per-course pepper) are described in Appendix F.</w:t>
      </w:r>
    </w:p>
    <w:p>
      <w:pPr>
        <w:pStyle w:val="Heading2"/>
        <w:spacing w:before="360" w:after="180"/>
      </w:pPr>
      <w:r>
        <w:rPr>
          <w:rFonts w:ascii="Times New Roman" w:cs="Times New Roman" w:eastAsia="Times New Roman" w:hAnsi="Times New Roman"/>
          <w:sz w:val="24"/>
          <w:szCs w:val="24"/>
        </w:rPr>
        <w:t xml:space="preserve">5.1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five and nine items due to insufficient high-priority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6, and 7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pStyle w:val="Heading2"/>
        <w:spacing w:before="360" w:after="180"/>
      </w:pPr>
      <w:r>
        <w:rPr>
          <w:rFonts w:ascii="Times New Roman" w:cs="Times New Roman" w:eastAsia="Times New Roman" w:hAnsi="Times New Roman"/>
          <w:sz w:val="24"/>
          <w:szCs w:val="24"/>
        </w:rPr>
        <w:t xml:space="preserve">6.2 Sample Demographics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sz w:val="24"/>
          <w:szCs w:val="24"/>
        </w:rPr>
        <w:t xml:space="preserve">To protect student privacy, demographic cells with fewer than 10 respondents are collapsed into an "Other/Prefer not to say" grouping or reported as suppressed (&lt; 10), to reduce re-identification risk.</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&lt; 10 (suppressed)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1"/>
        <w:pageBreakBefore/>
        <w:spacing w:before="480" w:after="240"/>
      </w:pPr>
      <w:r>
        <w:rPr>
          <w:rFonts w:ascii="Times New Roman" w:cs="Times New Roman" w:eastAsia="Times New Roman" w:hAnsi="Times New Roman"/>
          <w:sz w:val="24"/>
          <w:szCs w:val="24"/>
        </w:rPr>
        <w:t xml:space="preserve">7. Results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2"/>
        <w:spacing w:before="360" w:after="180"/>
      </w:pPr>
      <w:r>
        <w:rPr>
          <w:rFonts w:ascii="Times New Roman" w:cs="Times New Roman" w:eastAsia="Times New Roman" w:hAnsi="Times New Roman"/>
          <w:sz w:val="24"/>
          <w:szCs w:val="24"/>
        </w:rPr>
        <w:t xml:space="preserve">7.1 Anchor Score Distribution and Domain Breakdown</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7.1: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driven primarily by low performance on Q38 (Inflation Protection) and Q6 (Inflation Lowering). However, this domain also has the highest selection error count (56), suggesting some of this weakness is artifactual.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7.2: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&gt;=70%),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2"/>
        <w:spacing w:before="360" w:after="180"/>
      </w:pPr>
      <w:r>
        <w:rPr>
          <w:rFonts w:ascii="Times New Roman" w:cs="Times New Roman" w:eastAsia="Times New Roman" w:hAnsi="Times New Roman"/>
          <w:sz w:val="24"/>
          <w:szCs w:val="24"/>
        </w:rPr>
        <w:t xml:space="preserve">7.2 Confidence Calibration Patterns</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spacing w:line="360" w:after="200"/>
      </w:pPr>
      <w:r>
        <w:rPr>
          <w:rFonts w:ascii="Times New Roman" w:cs="Times New Roman" w:eastAsia="Times New Roman" w:hAnsi="Times New Roman"/>
          <w:sz w:val="24"/>
          <w:szCs w:val="24"/>
        </w:rPr>
        <w:t xml:space="preserve">Figure 5 presents the distribution of students across confidence calibration categories based on the alignment between average confidence ratings and anchor accuracy. Calibration patterns inform the SDM-10's adaptive logic: on items where a student answers incorrectly with high confidence (overconfident pattern), an Open_Diagnose follow-up is triggered; on items where a student answers correctly with low confidence (underconfident pattern), an Open_Confirm follow-up is triggered instead. Each anchor item triggers at most one of these alternatives. The distribution shows that the majority of students fall within calibrated or mildly overconfident ranges, with a smaller tail of strongly overconfident students whose high-confidence errors drive the diagnose subsample analyzed in Sections 7.3–7.6.</w:t>
      </w:r>
    </w:p>
    <w:p>
      <w:pPr>
        <w:pStyle w:val="Heading2"/>
        <w:spacing w:before="360" w:after="180"/>
      </w:pPr>
      <w:r>
        <w:rPr>
          <w:rFonts w:ascii="Times New Roman" w:cs="Times New Roman" w:eastAsia="Times New Roman" w:hAnsi="Times New Roman"/>
          <w:sz w:val="24"/>
          <w:szCs w:val="24"/>
        </w:rPr>
        <w:t xml:space="preserve">7.3 Diagnostic Classification: Diagnose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diagnose results below reflect students who answered incorrectly with high confidence (the SDM-10 diagnose trigger condition). These rates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7.3: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spacing w:line="360" w:after="200"/>
      </w:pPr>
      <w:r>
        <w:rPr>
          <w:rFonts w:ascii="Times New Roman" w:cs="Times New Roman" w:eastAsia="Times New Roman" w:hAnsi="Times New Roman"/>
          <w:b/>
          <w:bCs/>
          <w:sz w:val="24"/>
          <w:szCs w:val="24"/>
        </w:rPr>
        <w:t xml:space="preserve">Table 7.4: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that is,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7 caveat).</w:t>
      </w:r>
    </w:p>
    <w:p>
      <w:pPr>
        <w:spacing w:line="360" w:after="200"/>
      </w:pPr>
      <w:r>
        <w:rPr>
          <w:rFonts w:ascii="Times New Roman" w:cs="Times New Roman" w:eastAsia="Times New Roman" w:hAnsi="Times New Roman"/>
          <w:b/>
          <w:bCs/>
          <w:sz w:val="24"/>
          <w:szCs w:val="24"/>
        </w:rPr>
        <w:t xml:space="preserve">Table 7.5: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2"/>
        <w:spacing w:before="360" w:after="180"/>
      </w:pPr>
      <w:r>
        <w:rPr>
          <w:rFonts w:ascii="Times New Roman" w:cs="Times New Roman" w:eastAsia="Times New Roman" w:hAnsi="Times New Roman"/>
          <w:sz w:val="24"/>
          <w:szCs w:val="24"/>
        </w:rPr>
        <w:t xml:space="preserve">7.4 Diagnostic Classification: Confirm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confirm results below reflect students who answered correctly but with low confidence (the SDM-10 confirm trigger condition). The 13.7% guess rate applies to that conditioned subsample, not to all correct responses.</w:t>
      </w:r>
    </w:p>
    <w:p>
      <w:pPr>
        <w:spacing w:line="360" w:after="200"/>
      </w:pPr>
      <w:r>
        <w:rPr>
          <w:rFonts w:ascii="Times New Roman" w:cs="Times New Roman" w:eastAsia="Times New Roman" w:hAnsi="Times New Roman"/>
          <w:b/>
          <w:bCs/>
          <w:sz w:val="24"/>
          <w:szCs w:val="24"/>
        </w:rPr>
        <w:t xml:space="preserve">Table 7.6: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44.6% demonstrated genuine understanding in their explanation (verified), 41.8% showed partial understanding, and 13.7% were classified as likely guesses; their explanations showed no understanding of the underlying concept despite selecting the correct answer.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7.7: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7.8: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2"/>
        <w:spacing w:before="360" w:after="180"/>
      </w:pPr>
      <w:r>
        <w:rPr>
          <w:rFonts w:ascii="Times New Roman" w:cs="Times New Roman" w:eastAsia="Times New Roman" w:hAnsi="Times New Roman"/>
          <w:sz w:val="24"/>
          <w:szCs w:val="24"/>
        </w:rPr>
        <w:t xml:space="preserve">7.5 Misconception Clusters by Domain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7.9: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particularly on True/False items (Q36, Q2) where correct knowledge led to incorrect answers due to negation confusion or reversed logic</w:t>
      </w:r>
    </w:p>
    <w:p>
      <w:pPr>
        <w:pStyle w:val="Heading2"/>
        <w:spacing w:before="360" w:after="180"/>
      </w:pPr>
      <w:r>
        <w:rPr>
          <w:rFonts w:ascii="Times New Roman" w:cs="Times New Roman" w:eastAsia="Times New Roman" w:hAnsi="Times New Roman"/>
          <w:sz w:val="24"/>
          <w:szCs w:val="24"/>
        </w:rPr>
        <w:t xml:space="preserve">7.6 Selection Error Patterns and Item Revision Targets</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selection error rates below are conditional on the SDM-10 diagnose trigger (incorrect + high confidence). They characterize the composition of errors within that subsample rather than cohort-wide rates.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7.10: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2"/>
        <w:spacing w:before="360" w:after="180"/>
      </w:pPr>
      <w:r>
        <w:rPr>
          <w:rFonts w:ascii="Times New Roman" w:cs="Times New Roman" w:eastAsia="Times New Roman" w:hAnsi="Times New Roman"/>
          <w:sz w:val="24"/>
          <w:szCs w:val="24"/>
        </w:rPr>
        <w:t xml:space="preserve">7.7 AI Scoring Validation</w:t>
      </w:r>
    </w:p>
    <w:p>
      <w:pPr>
        <w:spacing w:line="360" w:after="200"/>
      </w:pPr>
      <w:r>
        <w:rPr>
          <w:rFonts w:ascii="Times New Roman" w:cs="Times New Roman" w:eastAsia="Times New Roman" w:hAnsi="Times New Roman"/>
          <w:sz w:val="24"/>
          <w:szCs w:val="24"/>
        </w:rPr>
        <w:t xml:space="preserve">Prior to AI scoring, we conducted a manual analysis of response patterns on a calibration sample. Table 7.11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7.11: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1"/>
        <w:pageBreakBefore/>
        <w:spacing w:before="480" w:after="240"/>
      </w:pPr>
      <w:r>
        <w:rPr>
          <w:rFonts w:ascii="Times New Roman" w:cs="Times New Roman" w:eastAsia="Times New Roman" w:hAnsi="Times New Roman"/>
          <w:sz w:val="24"/>
          <w:szCs w:val="24"/>
        </w:rPr>
        <w:t xml:space="preserve">8. Discussion</w:t>
      </w:r>
    </w:p>
    <w:p>
      <w:pPr>
        <w:pStyle w:val="Heading2"/>
        <w:spacing w:before="360" w:after="180"/>
      </w:pPr>
      <w:r>
        <w:rPr>
          <w:rFonts w:ascii="Times New Roman" w:cs="Times New Roman" w:eastAsia="Times New Roman" w:hAnsi="Times New Roman"/>
          <w:sz w:val="24"/>
          <w:szCs w:val="24"/>
        </w:rPr>
        <w:t xml:space="preserve">8.1 Key Findings</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All SDM-10 prevalence rates reported in Section 7 reflect conditioned subsamples (diagnose items target students who answered incorrectly with high confidence, and confirm items target students who answered correctly with low confidence), not random cross-sections of the class. Four principal findings emerged.</w:t>
      </w:r>
    </w:p>
    <w:p>
      <w:pPr>
        <w:spacing w:line="360" w:after="200"/>
      </w:pPr>
      <w:r>
        <w:rPr>
          <w:rFonts w:ascii="Times New Roman" w:cs="Times New Roman" w:eastAsia="Times New Roman" w:hAnsi="Times New Roman"/>
          <w:sz w:val="24"/>
          <w:szCs w:val="24"/>
        </w:rPr>
        <w:t xml:space="preserve">First, </w:t>
      </w: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Among students who answered incorrectly with high confidence, 31.9% of classified responses demonstrated correct understanding of the underlying concept. On individual items, selection error rates reached 81% (Q36, diversification), 41% (Q10, credit reports), and 32% (Q2, mortgages). These students receive a score of zero on the anchor assessment despite possessing the targeted knowledge. The pattern is concentrated on True/False items and negation-framed MCQ items, indicating that item format rather than student knowledge drives the errors.</w:t>
      </w:r>
    </w:p>
    <w:p>
      <w:pPr>
        <w:spacing w:line="360" w:after="200"/>
      </w:pPr>
      <w:r>
        <w:rPr>
          <w:rFonts w:ascii="Times New Roman" w:cs="Times New Roman" w:eastAsia="Times New Roman" w:hAnsi="Times New Roman"/>
          <w:sz w:val="24"/>
          <w:szCs w:val="24"/>
        </w:rPr>
        <w:t xml:space="preserve">Second, </w:t>
      </w: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Among students who answered correctly but with low confidence, 13.7% were classified as likely guesses; they could not articulate any understanding of the concept they ostensibly answered correctly. On individual items such as Q29 (33.3% guess rate) and Q13 (31.8%), anchor scores overestimate true comprehension.</w:t>
      </w:r>
    </w:p>
    <w:p>
      <w:pPr>
        <w:spacing w:line="360" w:after="200"/>
      </w:pPr>
      <w:r>
        <w:rPr>
          <w:rFonts w:ascii="Times New Roman" w:cs="Times New Roman" w:eastAsia="Times New Roman" w:hAnsi="Times New Roman"/>
          <w:sz w:val="24"/>
          <w:szCs w:val="24"/>
        </w:rPr>
        <w:t xml:space="preserve">Third, </w:t>
      </w: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Five dominant clusters emerged: inflation mechanics confusion (INF-01, the most frequent code at n = 42), risk-return reasoning from exceptions (RISK-02), insurance purpose confusion (INS-01/INS-02), empathy-driven reasoning (INF-05), and format-induced errors. These clusters are specific enough to inform targeted instructional interventions. Because the SDM-10 selects for high-priority responses, these rates should not be extrapolated to the full class without adjusting for item-level coverage (see Limitation 2).</w:t>
      </w:r>
    </w:p>
    <w:p>
      <w:pPr>
        <w:spacing w:line="360" w:after="200"/>
      </w:pPr>
      <w:r>
        <w:rPr>
          <w:rFonts w:ascii="Times New Roman" w:cs="Times New Roman" w:eastAsia="Times New Roman" w:hAnsi="Times New Roman"/>
          <w:sz w:val="24"/>
          <w:szCs w:val="24"/>
        </w:rPr>
        <w:t xml:space="preserve">Fourth, </w:t>
      </w: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The SDM-10's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w:t>
      </w:r>
    </w:p>
    <w:p>
      <w:pPr>
        <w:pStyle w:val="Heading2"/>
        <w:spacing w:before="360" w:after="180"/>
      </w:pPr>
      <w:r>
        <w:rPr>
          <w:rFonts w:ascii="Times New Roman" w:cs="Times New Roman" w:eastAsia="Times New Roman" w:hAnsi="Times New Roman"/>
          <w:sz w:val="24"/>
          <w:szCs w:val="24"/>
        </w:rPr>
        <w:t xml:space="preserve">8.2 Course Improvement Recommendations</w:t>
      </w:r>
    </w:p>
    <w:p>
      <w:pPr>
        <w:spacing w:line="360" w:after="200"/>
      </w:pPr>
      <w:r>
        <w:rPr>
          <w:rFonts w:ascii="Times New Roman" w:cs="Times New Roman" w:eastAsia="Times New Roman" w:hAnsi="Times New Roman"/>
          <w:sz w:val="24"/>
          <w:szCs w:val="24"/>
        </w:rPr>
        <w:t xml:space="preserve">The diagnostic findings from Section 7 translate into 10 specific recommendations for QUIN 102 instruction and instrument revision. Each recommendation is anchored to a specific finding and evidence source; the final column describes how Paper 2 will evaluate whether the change was effective.</w:t>
      </w:r>
    </w:p>
    <w:p>
      <w:pPr>
        <w:spacing w:line="360" w:after="200"/>
      </w:pPr>
      <w:r>
        <w:rPr>
          <w:rFonts w:ascii="Times New Roman" w:cs="Times New Roman" w:eastAsia="Times New Roman" w:hAnsi="Times New Roman"/>
          <w:b/>
          <w:bCs/>
          <w:sz w:val="24"/>
          <w:szCs w:val="24"/>
        </w:rPr>
        <w:t xml:space="preserve">Table 8.1: Course Improvement Recommendations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Finding</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Evidence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Recommended Change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Paper 2 Evaluation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 of high-confidence errors on Q6 reflect confusion between inflation rate and price level (INF-01, 42/53 classified)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Q6 row; Table 7.9, top code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Dedicate explicit instruction to distinguishing "lower inflation" (slower price increases) from "falling prices" (deflation), using rate-vs-level visual aids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INF-01 prevalence on Q6 diagnose responses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Q12 reflect belief that routine care is insurance's primary function (INS-01/INS-02, 23/28)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Q12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module on health insurance purpose: catastrophic protection vs. routine care, using frequency-vs-severity framing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Q12 accuracy and INS-01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(Q30, 14/17) and 78% (Q35, 7/9) of high-confidence errors reflect reasoning-from-exceptions (RISK-02)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Q30/Q35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Introduce risk-return principle using financial-domain examples (historical asset class returns) rather than abstract statements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RISK-02 prevalence across Q30 and Q35</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 of high-confidence errors on Q36 are selection errors caused by T/F format with negation (34/42)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Q36 row; Section 7.6 case study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Q36 from True/False to standard MCQ format for the post-assessment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Q36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of high-confidence errors on Q10 are selection errors caused by "which is FALSE" negation framing (16/39)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Q10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Q10 to remove negation framing (rewrite as positive identification)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Q10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shows 46% misconception rate (INT-06, 11/24) and 33% guess rate among correct respondents (4/12)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Q29 row; Table 7.7, Q29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bond pricing segment explaining inverse interest-rate/price relationship with worked numerical examples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Q29 accuracy, INT-06 prevalence, and confirm guess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shows 32% knowledge gap rate (6/19), reflecting unfamiliarity with deductible terminology rather than a specific misconception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Q13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insurance terminology module covering deductible, premium, copay, and out-of-pocket maximum definitions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Q13 knowledge gap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(83% SE, 5/6) and Q14 (71% SE, 5/7) show format-driven errors disproportionate to conceptual misunderstanding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Q9/Q14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Flag Q9 and Q14 for format revision; consider rephrasing or converting to MCQ</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SE rates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 (36% KG, 8/22) and Q8 (56% misconception INT-05, 19/34) reveal gaps in borrowing mechanics and loan negotiation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Q2/Q8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credit-literacy instructional module covering mortgage term/interest tradeoffs and consumer loan negotiation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accuracy on Q2 and Q8; track INT-05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Five dominant misconception clusters emerged across the assessment (Section 7.5)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7.5 cross-item patterns; Figure 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Generate per-student misconception profile from pre-course data; distribute targeted review materials before mid-term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Track within-subject misconception resolution rate (pre-post comparison of individual student profiles)</w:t>
            </w:r>
          </w:p>
        </w:tc>
      </w:tr>
    </w:tbl>
    <w:p>
      <w:pPr>
        <w:spacing w:after="200"/>
      </w:pPr>
    </w:p>
    <w:p>
      <w:pPr>
        <w:spacing w:line="360" w:after="200"/>
      </w:pPr>
      <w:r>
        <w:rPr>
          <w:rFonts w:ascii="Times New Roman" w:cs="Times New Roman" w:eastAsia="Times New Roman" w:hAnsi="Times New Roman"/>
          <w:sz w:val="24"/>
          <w:szCs w:val="24"/>
        </w:rPr>
        <w:t xml:space="preserve">Recommendations 1–3 and 6–7 target instructional content; recommendations 4–5 and 8 target instrument revision; recommendation 9 targets both; recommendation 10 targets instructional delivery. All instructional changes will be implemented before the post-assessment window, enabling Paper 2 to compare pre-post rates on the specific metrics identified above.</w:t>
      </w:r>
    </w:p>
    <w:p>
      <w:pPr>
        <w:pStyle w:val="Heading2"/>
        <w:spacing w:before="360" w:after="180"/>
      </w:pPr>
      <w:r>
        <w:rPr>
          <w:rFonts w:ascii="Times New Roman" w:cs="Times New Roman" w:eastAsia="Times New Roman" w:hAnsi="Times New Roman"/>
          <w:sz w:val="24"/>
          <w:szCs w:val="24"/>
        </w:rPr>
        <w:t xml:space="preserve">8.3 Implications for Risk Literacy Measurement</w:t>
      </w:r>
    </w:p>
    <w:p>
      <w:pPr>
        <w:spacing w:line="360" w:after="200"/>
      </w:pPr>
      <w:r>
        <w:rPr>
          <w:rFonts w:ascii="Times New Roman" w:cs="Times New Roman" w:eastAsia="Times New Roman" w:hAnsi="Times New Roman"/>
          <w:sz w:val="24"/>
          <w:szCs w:val="24"/>
        </w:rPr>
        <w:t xml:space="preserve">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pStyle w:val="Heading2"/>
        <w:spacing w:before="360" w:after="180"/>
      </w:pPr>
      <w:r>
        <w:rPr>
          <w:rFonts w:ascii="Times New Roman" w:cs="Times New Roman" w:eastAsia="Times New Roman" w:hAnsi="Times New Roman"/>
          <w:sz w:val="24"/>
          <w:szCs w:val="24"/>
        </w:rPr>
        <w:t xml:space="preserve">8.4 Oral Diagnostics as Future Modality</w:t>
      </w:r>
    </w:p>
    <w:p>
      <w:pPr>
        <w:spacing w:line="360" w:after="200"/>
      </w:pPr>
      <w:r>
        <w:rPr>
          <w:rFonts w:ascii="Times New Roman" w:cs="Times New Roman" w:eastAsia="Times New Roman" w:hAnsi="Times New Roman"/>
          <w:sz w:val="24"/>
          <w:szCs w:val="24"/>
        </w:rPr>
        <w:t xml:space="preserve">A promising extension of the SDM-10 framework is an oral diagnostic modality implemented as a structured, AI-mediated interview calibrated by each student's highest-priority SDM findings. Written open-ended prompts can yield thin responses that limit diagnostic signal, while a short conversation can adaptively probe reasoning, distinguish misreading from conceptual misunderstanding, and classify misconceptions by depth;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The oral diagnostic would be designed as a constrained clinical-interview script with branching logic: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(including speaking anxiety, language effects, transcription error, and privacy risks associated with voice data), this modality is proposed only as a small IRB-reviewed volunteer pilot (~20–30 students) to quantify incremental diagnostic value before any scaling. This oral modality is future work and would be implemented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9.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5.1). We exclude the NULL cohort from all research analyses per standard practice (absence of affirmative consent is treated as non-consent). A representativeness check (Section 5.1)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5.1),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10.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spacing w:line="360" w:after="200"/>
      </w:pPr>
      <w:r>
        <w:rPr>
          <w:rFonts w:ascii="Times New Roman" w:cs="Times New Roman" w:eastAsia="Times New Roman" w:hAnsi="Times New Roman"/>
          <w:sz w:val="24"/>
          <w:szCs w:val="24"/>
        </w:rPr>
        <w:t xml:space="preserve">The pilot deployment reported in Sections 4–7 produced several outputs that directly shape the planned Paper 2 design, including instrument revision targets (Section 7.6), a misconception taxonomy for pre-post coding (Appendix C), and baseline coverage estimates (Table 7.5) that inform statistical power for item-level comparisons.</w:t>
      </w:r>
    </w:p>
    <w:p>
      <w:pPr>
        <w:spacing w:line="360" w:after="200"/>
      </w:pPr>
      <w:r>
        <w:rPr>
          <w:rFonts w:ascii="Times New Roman" w:cs="Times New Roman" w:eastAsia="Times New Roman" w:hAnsi="Times New Roman"/>
          <w:sz w:val="24"/>
          <w:szCs w:val="24"/>
        </w:rPr>
        <w:t xml:space="preserve">If approved by the Loyola University Chicago IRB, the following study is planned. A post-course assessment would be administered during the last week of the Spring 2026 semester, using the same 40-item anchor assessment and SDM-10 module with an IRB-reviewed consent process for human-subjects research. Paired pre-post analyses would compute learning gains as the difference between post-course and pre-course scores for each student, both overall and by domain. Paired t-tests (or nonparametric equivalents) would assess the statistical significance of mean gains, with standardized effect sizes (within-student Cohen's d) reported.</w:t>
      </w:r>
    </w:p>
    <w:p>
      <w:pPr>
        <w:spacing w:line="360" w:after="200"/>
      </w:pPr>
      <w:r>
        <w:rPr>
          <w:rFonts w:ascii="Times New Roman" w:cs="Times New Roman" w:eastAsia="Times New Roman" w:hAnsi="Times New Roman"/>
          <w:sz w:val="24"/>
          <w:szCs w:val="24"/>
        </w:rPr>
        <w:t xml:space="preserve">A multivariable regression framework is planned to model heterogeneity in learning gains as a function of baseline covariates, including demographics, financial background, work status, financial stress, self-rated knowledge, prior product experience, and preference-item responses (Q15–Q28). Separate domain-specific models would reveal whether the predictors of learning gains differ across borrowing, investment, and risk management.</w:t>
      </w:r>
    </w:p>
    <w:p>
      <w:pPr>
        <w:spacing w:line="360" w:after="200"/>
      </w:pPr>
      <w:r>
        <w:rPr>
          <w:rFonts w:ascii="Times New Roman" w:cs="Times New Roman" w:eastAsia="Times New Roman" w:hAnsi="Times New Roman"/>
          <w:sz w:val="24"/>
          <w:szCs w:val="24"/>
        </w:rPr>
        <w:t xml:space="preserve">Psychometric validation is planned contingent on adequate sample size. Exploratory Factor Analysis would assess dimensionality within and across domains, Cronbach's alpha would evaluate internal consistency, and item-level statistics would identify items for refinement in future administrations. If IRB-approved, demographic and financial background subgroup comparisons (by gender, race/ethnicity, first-generation status, work experience, financial stress) would be reported with appropriate transparency practices for multiple comparisons.</w:t>
      </w:r>
    </w:p>
    <w:p>
      <w:pPr>
        <w:spacing w:line="360" w:after="200"/>
      </w:pPr>
      <w:r>
        <w:rPr>
          <w:rFonts w:ascii="Times New Roman" w:cs="Times New Roman" w:eastAsia="Times New Roman" w:hAnsi="Times New Roman"/>
          <w:sz w:val="24"/>
          <w:szCs w:val="24"/>
        </w:rPr>
        <w:t xml:space="preserve">A central component of Paper 2 would be the SDM-10 pre-post comparison. Pre-post changes in misconception prevalence, selection error rates, and the distribution of three-way classifications would be analyzed to assess whether instruction reduces specific misconception clusters and improves the alignment between student knowledge and item responses. Paper 2 would pre-specify which misconception codes from the taxonomy are expected to change, based on QUIN 102 curriculum coverage and the 10 recommendations in Table 8.1. Of particular interest is whether the instructional interventions targeting the five dominant misconception clusters identified in Section 7.5 produce measurable reductions in misconception prevalence, and whether the instrument revisions targeting high selection error items (Q36, Q10, Q9, Q14) reduce format-driven errors as predicted.</w:t>
      </w:r>
    </w:p>
    <w:p>
      <w:pPr>
        <w:spacing w:line="360" w:after="200"/>
      </w:pPr>
      <w:r>
        <w:rPr>
          <w:rFonts w:ascii="Times New Roman" w:cs="Times New Roman" w:eastAsia="Times New Roman" w:hAnsi="Times New Roman"/>
          <w:sz w:val="24"/>
          <w:szCs w:val="24"/>
        </w:rPr>
        <w:t xml:space="preserve">Subgroup analyses would examine whether learning gains vary by demographic and financial background characteristics, including gender, race/ethnicity, first-generation status, work experience, and financial stress. These analyses are contingent on IRB approval and would be reported with appropriate transparency practices for multiple comparisons, including false discovery rate adjustments where applicable.</w:t>
      </w:r>
    </w:p>
    <w:p>
      <w:pPr>
        <w:spacing w:line="360" w:after="200"/>
      </w:pPr>
      <w:r>
        <w:rPr>
          <w:rFonts w:ascii="Times New Roman" w:cs="Times New Roman" w:eastAsia="Times New Roman" w:hAnsi="Times New Roman"/>
          <w:sz w:val="24"/>
          <w:szCs w:val="24"/>
        </w:rPr>
        <w:t xml:space="preserve">The publishable evaluation would be conducted only on IRB-consented data. The existing consent infrastructure (Section 5.1) separates instructional use from research use; this separation would be maintained in the post-assessment. All student data would remain de-identified using the one-way hashing architecture described in Appendix F. No raw student identifiers would appear in any dataset or publication. To protect student privacy in subgroup analyses, Paper 2 would suppress any demographic cell with fewer than 10 observations, consistent with the suppression rule applied in Section 6.2. The post-assessment consent screen would implement a forced active choice design (no default selection) to address the status quo bias limitation identified in Section 9.</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4.4.</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high-priority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diagnostic priority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182-variant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Diagnostic Priority Score Mapping (Correctness x Confidence x Format)</w:t>
      </w:r>
    </w:p>
    <w:p>
      <w:pPr>
        <w:spacing w:line="360" w:after="200"/>
      </w:pPr>
      <w:r>
        <w:rPr>
          <w:rFonts w:ascii="Times New Roman" w:cs="Times New Roman" w:eastAsia="Times New Roman" w:hAnsi="Times New Roman"/>
          <w:sz w:val="24"/>
          <w:szCs w:val="24"/>
        </w:rPr>
        <w:t xml:space="preserve">The diagnostic priority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highest-priority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Priority-based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diagnostic priority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Understanding-verification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are flagged for follow-up, add understanding-verification items (labeled </w:t>
            </w:r>
            <w:r>
              <w:rPr>
                <w:rFonts w:ascii="Courier New" w:cs="Courier New" w:eastAsia="Courier New" w:hAnsi="Courier New"/>
                <w:sz w:val="22"/>
                <w:szCs w:val="22"/>
              </w:rPr>
              <w:t xml:space="preserve">mastery</w:t>
            </w:r>
            <w:r>
              <w:rPr>
                <w:rFonts w:ascii="Times New Roman" w:cs="Times New Roman" w:eastAsia="Times New Roman" w:hAnsi="Times New Roman"/>
                <w:sz w:val="22"/>
                <w:szCs w:val="22"/>
              </w:rPr>
              <w:t xml:space="preserve"> in the codebase)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Diagnostic Priority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4.4),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spacing w:line="360" w:after="200"/>
      </w:pPr>
      <w:r>
        <w:rPr>
          <w:rFonts w:ascii="Times New Roman" w:cs="Times New Roman" w:eastAsia="Times New Roman" w:hAnsi="Times New Roman"/>
          <w:b/>
          <w:bCs/>
          <w:sz w:val="24"/>
          <w:szCs w:val="24"/>
        </w:rPr>
        <w:t xml:space="preserve">Data and materials availability.</w:t>
      </w:r>
      <w:r>
        <w:rPr>
          <w:rFonts w:ascii="Times New Roman" w:cs="Times New Roman" w:eastAsia="Times New Roman" w:hAnsi="Times New Roman"/>
          <w:sz w:val="24"/>
          <w:szCs w:val="24"/>
        </w:rPr>
        <w:t xml:space="preserve"> The de-identified data exports, orientation video, source code,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described below are available in the project repository (Bolivard, 2026). Direct download links are provided in the repository README.</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verification script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The following data files are available for download from the project repository:</w:t>
      </w:r>
    </w:p>
    <w:p>
      <w:pPr>
        <w:pStyle w:val="ListParagraph"/>
        <w:numPr>
          <w:ilvl w:val="0"/>
          <w:numId w:val="3"/>
        </w:numPr>
        <w:spacing w:line="360" w:after="100"/>
      </w:pP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Primary analysis dataset containing all anchor and SDM-10 responses for the research-consented subset. Fields: attempt_id, submission_type, submitted_at, duration_s, item_id, item_type, domain, subdomain, is_anchor, is_scored, student_answer, item_score, confidence, answered_at.</w:t>
      </w:r>
    </w:p>
    <w:p>
      <w:pPr>
        <w:pStyle w:val="ListParagraph"/>
        <w:numPr>
          <w:ilvl w:val="0"/>
          <w:numId w:val="3"/>
        </w:numPr>
        <w:spacing w:line="360" w:after="100"/>
      </w:pPr>
      <w:r>
        <w:rPr>
          <w:rFonts w:ascii="Courier New" w:cs="Courier New" w:eastAsia="Courier New" w:hAnsi="Courier New"/>
          <w:sz w:val="24"/>
          <w:szCs w:val="24"/>
        </w:rPr>
        <w:t xml:space="preserve">all_responses_421_students.csv</w:t>
      </w:r>
      <w:r>
        <w:rPr>
          <w:rFonts w:ascii="Times New Roman" w:cs="Times New Roman" w:eastAsia="Times New Roman" w:hAnsi="Times New Roman"/>
          <w:sz w:val="24"/>
          <w:szCs w:val="24"/>
        </w:rPr>
        <w:t xml:space="preserve">: Operational dataset including non-consented responses. Used for operational context only; not included in research analyses.</w:t>
      </w:r>
    </w:p>
    <w:p>
      <w:pPr>
        <w:pStyle w:val="ListParagraph"/>
        <w:numPr>
          <w:ilvl w:val="0"/>
          <w:numId w:val="3"/>
        </w:numPr>
        <w:spacing w:line="360" w:after="100"/>
      </w:pPr>
      <w:r>
        <w:rPr>
          <w:rFonts w:ascii="Courier New" w:cs="Courier New" w:eastAsia="Courier New" w:hAnsi="Courier New"/>
          <w:sz w:val="24"/>
          <w:szCs w:val="24"/>
        </w:rPr>
        <w:t xml:space="preserve">question_bank_40items.csv</w:t>
      </w:r>
      <w:r>
        <w:rPr>
          <w:rFonts w:ascii="Times New Roman" w:cs="Times New Roman" w:eastAsia="Times New Roman" w:hAnsi="Times New Roman"/>
          <w:sz w:val="24"/>
          <w:szCs w:val="24"/>
        </w:rPr>
        <w:t xml:space="preserve">: Item metadata and answer options for all 40 anchor items plus 13 baseline covariates. Fields: section, subsection, range, question_id, question_text, tags, options, correct_answer.</w:t>
      </w:r>
    </w:p>
    <w:p>
      <w:pPr>
        <w:pStyle w:val="ListParagraph"/>
        <w:numPr>
          <w:ilvl w:val="0"/>
          <w:numId w:val="3"/>
        </w:numPr>
        <w:spacing w:line="360" w:after="100"/>
      </w:pP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Item-level diagnose classification results showing misconception, knowledge gap, and selection error percentages with Layer 1 and Layer 2 taxonomy codes for each anchor item.</w:t>
      </w:r>
    </w:p>
    <w:p>
      <w:pPr>
        <w:pStyle w:val="ListParagraph"/>
        <w:numPr>
          <w:ilvl w:val="0"/>
          <w:numId w:val="3"/>
        </w:numPr>
        <w:spacing w:line="360" w:after="100"/>
      </w:pP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Item-level confirm classification results showing verified, partial, and likely-guess percentages for each anchor item.</w:t>
      </w:r>
    </w:p>
    <w:p>
      <w:pPr>
        <w:pStyle w:val="ListParagraph"/>
        <w:numPr>
          <w:ilvl w:val="0"/>
          <w:numId w:val="3"/>
        </w:numPr>
        <w:spacing w:line="360" w:after="100"/>
      </w:pPr>
      <w:r>
        <w:rPr>
          <w:rFonts w:ascii="Courier New" w:cs="Courier New" w:eastAsia="Courier New" w:hAnsi="Courier New"/>
          <w:sz w:val="24"/>
          <w:szCs w:val="24"/>
        </w:rPr>
        <w:t xml:space="preserve">sdm_open_answers.csv</w:t>
      </w:r>
      <w:r>
        <w:rPr>
          <w:rFonts w:ascii="Times New Roman" w:cs="Times New Roman" w:eastAsia="Times New Roman" w:hAnsi="Times New Roman"/>
          <w:sz w:val="24"/>
          <w:szCs w:val="24"/>
        </w:rPr>
        <w:t xml:space="preserve">: De-identified open-ended response text from SDM-10 diagnose and confirm items.</w:t>
      </w:r>
    </w:p>
    <w:p>
      <w:pPr>
        <w:pStyle w:val="ListParagraph"/>
        <w:numPr>
          <w:ilvl w:val="0"/>
          <w:numId w:val="3"/>
        </w:numPr>
        <w:spacing w:line="360" w:after="100"/>
      </w:pPr>
      <w:r>
        <w:rPr>
          <w:rFonts w:ascii="Courier New" w:cs="Courier New" w:eastAsia="Courier New" w:hAnsi="Courier New"/>
          <w:sz w:val="24"/>
          <w:szCs w:val="24"/>
        </w:rPr>
        <w:t xml:space="preserve">misconception_taxonomy_observed.csv</w:t>
      </w:r>
      <w:r>
        <w:rPr>
          <w:rFonts w:ascii="Times New Roman" w:cs="Times New Roman" w:eastAsia="Times New Roman" w:hAnsi="Times New Roman"/>
          <w:sz w:val="24"/>
          <w:szCs w:val="24"/>
        </w:rPr>
        <w:t xml:space="preserve">: 62 observed misconception patterns mapped to items and subcategories, with Layer 1 codes, Layer 2 tags, and frequency counts.</w:t>
      </w:r>
    </w:p>
    <w:p>
      <w:pPr>
        <w:pStyle w:val="ListParagraph"/>
        <w:numPr>
          <w:ilvl w:val="0"/>
          <w:numId w:val="3"/>
        </w:numPr>
        <w:spacing w:line="360" w:after="100"/>
      </w:pPr>
      <w:r>
        <w:rPr>
          <w:rFonts w:ascii="Courier New" w:cs="Courier New" w:eastAsia="Courier New" w:hAnsi="Courier New"/>
          <w:sz w:val="24"/>
          <w:szCs w:val="24"/>
        </w:rPr>
        <w:t xml:space="preserve">model_selection_concordance.csv</w:t>
      </w:r>
      <w:r>
        <w:rPr>
          <w:rFonts w:ascii="Times New Roman" w:cs="Times New Roman" w:eastAsia="Times New Roman" w:hAnsi="Times New Roman"/>
          <w:sz w:val="24"/>
          <w:szCs w:val="24"/>
        </w:rPr>
        <w:t xml:space="preserve">: 11-model comparison for AI scorer selection, with schema compliance, error rates, throughput, cost estimates, and verdict for each model.</w:t>
      </w:r>
    </w:p>
    <w:p>
      <w:pPr>
        <w:pStyle w:val="ListParagraph"/>
        <w:numPr>
          <w:ilvl w:val="0"/>
          <w:numId w:val="3"/>
        </w:numPr>
        <w:spacing w:line="360" w:after="100"/>
      </w:pP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Canonical SDM item bank containing 182 variant rows across 26 anchor items. Fields include anchor ID, variant type, trigger condition, question text, answer options, correct answer, scoring rubric, and misconception tags.</w:t>
      </w:r>
    </w:p>
    <w:p>
      <w:pPr>
        <w:pStyle w:val="Heading1"/>
        <w:pageBreakBefore/>
        <w:spacing w:before="480" w:after="240"/>
      </w:pPr>
      <w:r>
        <w:rPr>
          <w:rFonts w:ascii="Times New Roman" w:cs="Times New Roman" w:eastAsia="Times New Roman" w:hAnsi="Times New Roman"/>
          <w:sz w:val="24"/>
          <w:szCs w:val="24"/>
        </w:rPr>
        <w:t xml:space="preserve">Appendix F: Technical Implementation</w:t>
      </w:r>
    </w:p>
    <w:p>
      <w:pPr>
        <w:pStyle w:val="Heading2"/>
        <w:spacing w:before="360" w:after="180"/>
      </w:pPr>
      <w:r>
        <w:rPr>
          <w:rFonts w:ascii="Times New Roman" w:cs="Times New Roman" w:eastAsia="Times New Roman" w:hAnsi="Times New Roman"/>
          <w:sz w:val="24"/>
          <w:szCs w:val="24"/>
        </w:rPr>
        <w:t xml:space="preserve">F.1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the Financial Literacy Toolkit, developed for this study. The platform is built on Next.js 14 (App Router) with PostgreSQL 15 as the data store, accessed through PgBouncer connection pooling to support concurrent users. The application runs as a Docker containerized service with automated deployment via GitHub Actions and Traefik reverse proxy for SSL termination.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F.2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undefined"/><Relationship Id="rId9" Type="http://schemas.openxmlformats.org/officeDocument/2006/relationships/image" Target="media/a2ded5315995609fcf1cc70a7f7a979402eaf036.undefined"/><Relationship Id="rId10" Type="http://schemas.openxmlformats.org/officeDocument/2006/relationships/image" Target="media/1dd102a4ef1d5ee1253ce89081466c70eb774a29.undefined"/><Relationship Id="rId11" Type="http://schemas.openxmlformats.org/officeDocument/2006/relationships/image" Target="media/6b924f66c73cf875d83a03e08e0bb344059457b2.undefined"/><Relationship Id="rId12" Type="http://schemas.openxmlformats.org/officeDocument/2006/relationships/image" Target="media/e20a754195d8797c443e631068bf6cc458b9e9b8.undefined"/><Relationship Id="rId13" Type="http://schemas.openxmlformats.org/officeDocument/2006/relationships/image" Target="media/ad2f2b8ca0c97fa3c78aa94b3459085c92207e53.undefined"/><Relationship Id="rId14" Type="http://schemas.openxmlformats.org/officeDocument/2006/relationships/image" Target="media/0a2b849edc804f65e3c6bff571fb8bd51b09c574.undefined"/><Relationship Id="rId15" Type="http://schemas.openxmlformats.org/officeDocument/2006/relationships/image" Target="media/fb3ef5bb6345b74d5a49530286d89685d865057b.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2026-02-14T00:29:20.552Z</dcterms:created>
  <dcterms:modified xsi:type="dcterms:W3CDTF">2026-02-14T00:29:20.552Z</dcterms:modified>
</cp:coreProperties>
</file>

<file path=docProps/custom.xml><?xml version="1.0" encoding="utf-8"?>
<Properties xmlns="http://schemas.openxmlformats.org/officeDocument/2006/custom-properties" xmlns:vt="http://schemas.openxmlformats.org/officeDocument/2006/docPropsVTypes"/>
</file>