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Arial" w:cs="Arial" w:eastAsia="Arial" w:hAnsi="Arial"/>
          <w:b/>
          <w:bCs/>
          <w:sz w:val="36"/>
          <w:szCs w:val="36"/>
        </w:rPr>
        <w:t xml:space="preserve">Pre-Course Financial Literacy Assessment:</w:t>
      </w:r>
    </w:p>
    <w:p>
      <w:pPr>
        <w:spacing w:after="120"/>
        <w:jc w:val="center"/>
      </w:pPr>
      <w:r>
        <w:rPr>
          <w:rFonts w:ascii="Arial" w:cs="Arial" w:eastAsia="Arial" w:hAnsi="Arial"/>
          <w:b/>
          <w:bCs/>
          <w:sz w:val="36"/>
          <w:szCs w:val="36"/>
        </w:rPr>
        <w:t xml:space="preserve">Baseline Measurement for QUINN 102 (Financial Literacy),</w:t>
      </w:r>
    </w:p>
    <w:p>
      <w:pPr>
        <w:spacing w:after="600"/>
        <w:jc w:val="center"/>
      </w:pPr>
      <w:r>
        <w:rPr>
          <w:rFonts w:ascii="Arial" w:cs="Arial" w:eastAsia="Arial" w:hAnsi="Arial"/>
          <w:b/>
          <w:bCs/>
          <w:sz w:val="36"/>
          <w:szCs w:val="36"/>
        </w:rPr>
        <w:t xml:space="preserve">Spring 2026</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pacing w:after="240"/>
        <w:jc w:val="center"/>
      </w:pPr>
      <w:r>
        <w:rPr>
          <w:rFonts w:ascii="Times New Roman" w:cs="Times New Roman" w:eastAsia="Times New Roman" w:hAnsi="Times New Roman"/>
          <w:sz w:val="28"/>
          <w:szCs w:val="28"/>
        </w:rPr>
        <w:t xml:space="preserve">February 2026</w:t>
      </w:r>
    </w:p>
    <w:p>
      <w:pPr>
        <w:sectPr>
          <w:pgSz w:w="12240" w:h="15840" w:orient="portrait"/>
          <w:pgMar w:top="1440" w:right="1440" w:bottom="1440" w:left="1440" w:header="708" w:footer="708" w:gutter="0"/>
          <w:pgNumType/>
          <w:docGrid w:linePitch="360"/>
        </w:sectPr>
      </w:pPr>
    </w:p>
    <w:p>
      <w:pPr>
        <w:spacing w:after="400"/>
        <w:jc w:val="center"/>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line="360" w:after="200"/>
        <w:jc w:val="left"/>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jc w:val="left"/>
      </w:pPr>
      <w:r>
        <w:rPr>
          <w:rFonts w:ascii="Times New Roman" w:cs="Times New Roman" w:eastAsia="Times New Roman" w:hAnsi="Times New Roman"/>
          <w:sz w:val="24"/>
          <w:szCs w:val="24"/>
        </w:rPr>
        <w:t xml:space="preserve">Recent policy debate on consumer credit highlights why financial literacy matters for borrowing outcomes. Creditworthiness is partly a function of financial literacy education, and improving consumers’ understanding of borrowing mechanics can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jc w:val="left"/>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jc w:val="left"/>
      </w:pPr>
      <w:r>
        <w:rPr>
          <w:rFonts w:ascii="Times New Roman" w:cs="Times New Roman" w:eastAsia="Times New Roman" w:hAnsi="Times New Roman"/>
          <w:sz w:val="24"/>
          <w:szCs w:val="24"/>
        </w:rPr>
        <w:t xml:space="preserve">This independent study evaluates learning outcomes in Quinn 102 (Financial Literacy) during the Spring 2026 offering through a structured questionnaire administered respectively in the second week and the last week of the course. The purpose of administering the questionnaire for Quinn 102 in 2026 is twofold. First, it is designed to measure the overall level of learning achieved, and its distribution across different categories of financial literacy, demographics, and socio-economic characteristics of the sample. Second, it is designed to determine which factors affect the level and magnitude of learning in order to inform the development of more effective courses in the future. In specifying the determinants of learning, the study emphasizes behavioral and contextual variables that affect students’ learning in domains such as borrowing, investment, and risk management.</w:t>
      </w:r>
    </w:p>
    <w:p>
      <w:pPr>
        <w:spacing w:line="360" w:after="200"/>
        <w:jc w:val="left"/>
      </w:pPr>
      <w:r>
        <w:rPr>
          <w:rFonts w:ascii="Times New Roman" w:cs="Times New Roman" w:eastAsia="Times New Roman" w:hAnsi="Times New Roman"/>
          <w:sz w:val="24"/>
          <w:szCs w:val="24"/>
        </w:rPr>
        <w:t xml:space="preserve">Collectively, this independent study contributes an empirically grounded evaluation of QUINN 102’s association with student financial literacy gains, a structured approach to diagnosing domain-level strengths and weaknesses, and an operational infrastructure for repeatable, privacy-aware measurement. The results are intended to support continuous course improvement and to provide evidence on which student characteristics and constraints are most predictive of learning gains in borrowing, investment, and risk management.</w:t>
      </w:r>
    </w:p>
    <w:p>
      <w:pPr>
        <w:spacing w:line="360" w:after="200"/>
        <w:jc w:val="left"/>
      </w:pPr>
      <w:r>
        <w:rPr>
          <w:rFonts w:ascii="Times New Roman" w:cs="Times New Roman" w:eastAsia="Times New Roman" w:hAnsi="Times New Roman"/>
          <w:sz w:val="24"/>
          <w:szCs w:val="24"/>
        </w:rPr>
        <w:t xml:space="preserve">This paper presents the pre-course baseline assessment results. The pre-course assessment was administered during the second week of the Spring 2026 semester (February 2-9, 2026). Post-course results and pre-post comparisons will be reported following the end-of-semester assessment administration.</w:t>
      </w:r>
    </w:p>
    <w:p>
      <w:pPr>
        <w:pStyle w:val="Heading1"/>
      </w:pPr>
      <w:r>
        <w:t xml:space="preserve">2. Literature Review</w:t>
      </w:r>
    </w:p>
    <w:p>
      <w:pPr>
        <w:pStyle w:val="Heading2"/>
      </w:pPr>
      <w:r>
        <w:t xml:space="preserve">2.1 Financial Literacy: Definitions and Measurement</w:t>
      </w:r>
    </w:p>
    <w:p>
      <w:pPr>
        <w:spacing w:line="360" w:after="200"/>
        <w:jc w:val="left"/>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jc w:val="left"/>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literacy—knowledge, behavior, and attitudes—deployed across dozens of countries to enable cross-national comparisons.</w:t>
      </w:r>
    </w:p>
    <w:p>
      <w:pPr>
        <w:spacing w:line="360" w:after="200"/>
        <w:jc w:val="left"/>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questions—covering interest rates, inflation, diversification, compound interest, and bond pricing—are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jc w:val="left"/>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 These early benchmarks provide a comparative frame for interpreting the knowledge scores of the approximately 430 QUINN 102 students in the present study.</w:t>
      </w:r>
    </w:p>
    <w:p>
      <w:pPr>
        <w:pStyle w:val="Heading2"/>
      </w:pPr>
      <w:r>
        <w:t xml:space="preserve">2.2 Financial Education Interventions: Evidence of Effectiveness</w:t>
      </w:r>
    </w:p>
    <w:p>
      <w:pPr>
        <w:spacing w:line="360" w:after="200"/>
        <w:jc w:val="left"/>
      </w:pPr>
      <w:r>
        <w:rPr>
          <w:rFonts w:ascii="Times New Roman" w:cs="Times New Roman" w:eastAsia="Times New Roman" w:hAnsi="Times New Roman"/>
          <w:sz w:val="24"/>
          <w:szCs w:val="24"/>
        </w:rPr>
        <w:t xml:space="preserve">The effectiveness of financial education has been a contested question in the literature. Kaiser, Lusardi, Menkhoff, and Urban (2022) conducted the most comprehensive meta-analysis to date, examining 76 randomized experiments across 33 countries. They found that financial education interventions boost financial literacy scores by approximately 0.15–0.20 standard deviations and improve downstream financial behaviors by 0.06–0.10 standard deviations, with effect sizes increasing with classroom instruction time. This finding suggests that a full-semester course like QUINN 102 should produce larger effects than light-touch interventions.</w:t>
      </w:r>
    </w:p>
    <w:p>
      <w:pPr>
        <w:spacing w:line="360" w:after="200"/>
        <w:jc w:val="left"/>
      </w:pPr>
      <w:r>
        <w:rPr>
          <w:rFonts w:ascii="Times New Roman" w:cs="Times New Roman" w:eastAsia="Times New Roman" w:hAnsi="Times New Roman"/>
          <w:sz w:val="24"/>
          <w:szCs w:val="24"/>
        </w:rPr>
        <w:t xml:space="preserve">An earlier meta-analysis by Fernandes, Lynch, and Netemeyer (2014) offered a more cautious assessment, finding that financial education interventions explained only 0.1% of variance in financial behaviors and that effects decayed rapidly over time. The tension between these two meta-analyses—with Kaiser et al. (2022) finding meaningful effects using only randomized experiments and Fernandes et al. (2014) finding negligible effects using a broader study base—highlights the importance of study design and measurement rigor.</w:t>
      </w:r>
    </w:p>
    <w:p>
      <w:pPr>
        <w:spacing w:line="360" w:after="200"/>
        <w:jc w:val="left"/>
      </w:pPr>
      <w:r>
        <w:rPr>
          <w:rFonts w:ascii="Times New Roman" w:cs="Times New Roman" w:eastAsia="Times New Roman" w:hAnsi="Times New Roman"/>
          <w:sz w:val="24"/>
          <w:szCs w:val="24"/>
        </w:rPr>
        <w:t xml:space="preserve">Willis (2011) presented the strongest skeptical position, arguing that financial education lacks a demonstrated causal chain to welfare-enhancing behavior due to the velocity of change in financial markets, persistent cognitive biases, and resource asymmetries between educators and financial firms. She cautioned that for some consumers, financial education increases confidence without improving ability, potentially leading to worse decisions. This concern directly motivates the present study’s inclusion of the overconfidence index alongside knowledge measurement.</w:t>
      </w:r>
    </w:p>
    <w:p>
      <w:pPr>
        <w:spacing w:line="360" w:after="200"/>
        <w:jc w:val="left"/>
      </w:pPr>
      <w:r>
        <w:rPr>
          <w:rFonts w:ascii="Times New Roman" w:cs="Times New Roman" w:eastAsia="Times New Roman" w:hAnsi="Times New Roman"/>
          <w:sz w:val="24"/>
          <w:szCs w:val="24"/>
        </w:rPr>
        <w:t xml:space="preserve">Mandell and Klein (2009) found that high school students who had completed a personal finance course 1–4 years earlier were no more financially literate than non-completers, but that college attendance itself positively and significantly affected financial behavior. This “dormancy hypothesis” suggests that university-level interventions like QUINN 102 may be especially effective given their timing during students’ transition to independent financial decision-making. Wagner and Walstad (2019) provided more encouraging evidence, finding that students retained significant financial literacy gains three years after completing a semester-length course, though behavioral effects were less robust over time.</w:t>
      </w:r>
    </w:p>
    <w:p>
      <w:pPr>
        <w:pStyle w:val="Heading2"/>
      </w:pPr>
      <w:r>
        <w:t xml:space="preserve">2.3 Domain-Specific Knowledge Gaps</w:t>
      </w:r>
    </w:p>
    <w:p>
      <w:pPr>
        <w:spacing w:line="360" w:after="200"/>
        <w:jc w:val="left"/>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mistakes—exponential growth bias, the pervasive tendency to linearize exponential functions—which leads consumers to underestimate interest rates on loans and underestimate future values of investments.</w:t>
      </w:r>
    </w:p>
    <w:p>
      <w:pPr>
        <w:spacing w:line="360" w:after="200"/>
        <w:jc w:val="left"/>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jc w:val="left"/>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 and why financial education at the university level is especially urgent.</w:t>
      </w:r>
    </w:p>
    <w:p>
      <w:pPr>
        <w:pStyle w:val="Heading2"/>
      </w:pPr>
      <w:r>
        <w:t xml:space="preserve">2.4 Confidence Calibration and Overconfidence</w:t>
      </w:r>
    </w:p>
    <w:p>
      <w:pPr>
        <w:spacing w:line="360" w:after="200"/>
        <w:jc w:val="left"/>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QUINN 102 assessment’s design that generates an overconfidence index from both measures.</w:t>
      </w:r>
    </w:p>
    <w:p>
      <w:pPr>
        <w:spacing w:line="360" w:after="200"/>
        <w:jc w:val="left"/>
      </w:pPr>
      <w:r>
        <w:rPr>
          <w:rFonts w:ascii="Times New Roman" w:cs="Times New Roman" w:eastAsia="Times New Roman" w:hAnsi="Times New Roman"/>
          <w:sz w:val="24"/>
          <w:szCs w:val="24"/>
        </w:rPr>
        <w:t xml:space="preserve">Robb and Woodyard (2011) similarly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overconfidence—scoring above average on perceived knowledge but failing basic literacy questions—and that these overconfident consumers were less likely to seek professional financial advice in domains where they most needed it.</w:t>
      </w:r>
    </w:p>
    <w:p>
      <w:pPr>
        <w:spacing w:line="360" w:after="200"/>
        <w:jc w:val="left"/>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with overconfidence more pronounced among students under age 21. The finding that education reduces overconfidence suggests that a pre-post design may detect not only knowledge gains but also improved confidence calibration. Kramer (2016) provided additional evidence that confidence operates independently of knowledge in shaping financial behavior, finding that higher confidence in financial literacy reduces advice-seeking while no relationship exists between objective literacy and advice-seeking.</w:t>
      </w:r>
    </w:p>
    <w:p>
      <w:pPr>
        <w:pStyle w:val="Heading2"/>
      </w:pPr>
      <w:r>
        <w:t xml:space="preserve">2.5 Gaps in the Literature</w:t>
      </w:r>
    </w:p>
    <w:p>
      <w:pPr>
        <w:spacing w:line="360" w:after="200"/>
        <w:jc w:val="left"/>
      </w:pPr>
      <w:r>
        <w:rPr>
          <w:rFonts w:ascii="Times New Roman" w:cs="Times New Roman" w:eastAsia="Times New Roman" w:hAnsi="Times New Roman"/>
          <w:sz w:val="24"/>
          <w:szCs w:val="24"/>
        </w:rPr>
        <w:t xml:space="preserve">The literature review reveals several gaps that the present study addresses. First, most financial literacy measurement studies focus on general adult populations or high school students; relatively few evaluate structured financial literacy courses at the university level with pre-post designs (Goyal &amp; Kumar, 2021). Second, while meta-analyses have established that financial education can produce knowledge gains, the evidence on domain-specific gains—whether courses improve borrowing literacy, investment knowledge, and risk management differentially—remains limited. Third, the use of adaptive diagnostic instruments like the SDM-10, which probes areas of weakness identified in the anchor assessment, is novel in the financial literacy evaluation literature and provides finer-grained diagnostic information than traditional fixed instruments. Fourth, the simultaneous measurement of knowledge, confidence, and behavioral covariates enables analysis of confidence calibration changes alongside knowledge gains, directly addressing Willis’s (2011) concern about “confident incompetence.” The present study contributes to filling these gaps by combining a structured pre-post design, domain-level measurement, adaptive diagnostics, and confidence calibration analysis within a single evaluation framework.</w:t>
      </w:r>
    </w:p>
    <w:p>
      <w:pPr>
        <w:pStyle w:val="Heading1"/>
      </w:pPr>
      <w:r>
        <w:t xml:space="preserve">3. Research Questions</w:t>
      </w:r>
    </w:p>
    <w:p>
      <w:pPr>
        <w:spacing w:line="360" w:after="200"/>
        <w:jc w:val="left"/>
      </w:pPr>
      <w:r>
        <w:rPr>
          <w:rFonts w:ascii="Times New Roman" w:cs="Times New Roman" w:eastAsia="Times New Roman" w:hAnsi="Times New Roman"/>
          <w:sz w:val="24"/>
          <w:szCs w:val="24"/>
        </w:rPr>
        <w:t xml:space="preserve">The study is organized around two research questions:</w:t>
      </w:r>
    </w:p>
    <w:p>
      <w:pPr>
        <w:pStyle w:val="ListParagraph"/>
        <w:numPr>
          <w:ilvl w:val="0"/>
          <w:numId w:val="2"/>
        </w:numPr>
        <w:spacing w:line="360" w:after="120"/>
      </w:pPr>
      <w:r>
        <w:rPr>
          <w:rFonts w:ascii="Times New Roman" w:cs="Times New Roman" w:eastAsia="Times New Roman" w:hAnsi="Times New Roman"/>
          <w:sz w:val="24"/>
          <w:szCs w:val="24"/>
        </w:rPr>
        <w:t xml:space="preserve">RQ1 (Learning gains): What is the magnitude of student learning in Quinn 102, overall and within the domains of borrowing and credit, investment, and risk management, as measured by pre- to post-course changes in knowledge?</w:t>
      </w:r>
    </w:p>
    <w:p>
      <w:pPr>
        <w:pStyle w:val="ListParagraph"/>
        <w:numPr>
          <w:ilvl w:val="0"/>
          <w:numId w:val="2"/>
        </w:numPr>
        <w:spacing w:line="360" w:after="200"/>
      </w:pPr>
      <w:r>
        <w:rPr>
          <w:rFonts w:ascii="Times New Roman" w:cs="Times New Roman" w:eastAsia="Times New Roman" w:hAnsi="Times New Roman"/>
          <w:sz w:val="24"/>
          <w:szCs w:val="24"/>
        </w:rPr>
        <w:t xml:space="preserve">RQ2 (Heterogeneity): Which baseline behavioral and contextual variables predict heterogeneity in learning gains across students, and do these predictors differ by domain?</w:t>
      </w:r>
    </w:p>
    <w:p>
      <w:pPr>
        <w:pStyle w:val="Heading1"/>
      </w:pPr>
      <w:r>
        <w:t xml:space="preserve">4. Methodology</w:t>
      </w:r>
    </w:p>
    <w:p>
      <w:pPr>
        <w:pStyle w:val="Heading2"/>
      </w:pPr>
      <w:r>
        <w:t xml:space="preserve">4.1 Study Design</w:t>
      </w:r>
    </w:p>
    <w:p>
      <w:pPr>
        <w:spacing w:line="360" w:after="200"/>
        <w:jc w:val="left"/>
      </w:pPr>
      <w:r>
        <w:rPr>
          <w:rFonts w:ascii="Times New Roman" w:cs="Times New Roman" w:eastAsia="Times New Roman" w:hAnsi="Times New Roman"/>
          <w:sz w:val="24"/>
          <w:szCs w:val="24"/>
        </w:rPr>
        <w:t xml:space="preserve">This study employs a single-group, pre-to-post design in which the same cohort of QUINN 102 students completes a structured financial literacy assessment at the beginning and end of the Spring 2026 semester. The pre-course assessment was administered during Week 2 (February 2–9, 2026) and the post-course assessment will be administered during the final week of instruction. Both administrations use the same fixed 40-item core instrument, enabling direct comparison of item-level and domain-level performance.</w:t>
      </w:r>
    </w:p>
    <w:p>
      <w:pPr>
        <w:spacing w:line="360" w:after="200"/>
        <w:jc w:val="left"/>
      </w:pPr>
      <w:r>
        <w:rPr>
          <w:rFonts w:ascii="Times New Roman" w:cs="Times New Roman" w:eastAsia="Times New Roman" w:hAnsi="Times New Roman"/>
          <w:sz w:val="24"/>
          <w:szCs w:val="24"/>
        </w:rPr>
        <w:t xml:space="preserve">The design captures within-student change over the semester, which serves as the primary measure of learning. Because the study lacks a randomized control group, observed gains cannot be attributed exclusively to the course; however, the structured timing, identical instrumentation, and domain-specific scoring allow meaningful inference about the magnitude and distribution of knowledge change associated with course enrollment.</w:t>
      </w:r>
    </w:p>
    <w:p>
      <w:pPr>
        <w:spacing w:line="360" w:after="200"/>
        <w:jc w:val="left"/>
      </w:pPr>
      <w:r>
        <w:rPr>
          <w:rFonts w:ascii="Times New Roman" w:cs="Times New Roman" w:eastAsia="Times New Roman" w:hAnsi="Times New Roman"/>
          <w:sz w:val="24"/>
          <w:szCs w:val="24"/>
        </w:rPr>
        <w:t xml:space="preserve">A supplemental adaptive module (SDM-10) accompanies each administration. The SDM-10 targets each student’s weakest domain as identified by the fixed core, providing finer-grained diagnostic information without extending total assessment time beyond approximately 15 minutes.</w:t>
      </w:r>
    </w:p>
    <w:p>
      <w:pPr>
        <w:spacing w:line="360" w:after="200"/>
        <w:jc w:val="left"/>
      </w:pPr>
      <w:r>
        <w:rPr>
          <w:rFonts w:ascii="Times New Roman" w:cs="Times New Roman" w:eastAsia="Times New Roman" w:hAnsi="Times New Roman"/>
          <w:sz w:val="24"/>
          <w:szCs w:val="24"/>
        </w:rPr>
        <w:t xml:space="preserve">Research consent was voluntary and administered through a structured two-part consent process described in Section 4.4.3; students could decline research participation without penalty and without any impact on course standing or grades. The study protocol has been prepared for institutional review (see Section 4.4.1).</w:t>
      </w:r>
    </w:p>
    <w:p>
      <w:pPr>
        <w:pStyle w:val="Heading2"/>
      </w:pPr>
      <w:r>
        <w:t xml:space="preserve">4.2 Assessment Structure</w:t>
      </w:r>
    </w:p>
    <w:p>
      <w:pPr>
        <w:spacing w:line="360" w:after="200"/>
        <w:jc w:val="left"/>
      </w:pPr>
      <w:r>
        <w:rPr>
          <w:rFonts w:ascii="Times New Roman" w:cs="Times New Roman" w:eastAsia="Times New Roman" w:hAnsi="Times New Roman"/>
          <w:sz w:val="24"/>
          <w:szCs w:val="24"/>
        </w:rPr>
        <w:t xml:space="preserve">The assessment comprises three components administered sequentially: a demographic and socioeconomic baseline questionnaire, a fixed core knowledge assessment of 40 items, and a supplemental diagnostic module of 10 items. The total assessment is designed for completion within 12–18 minutes.</w:t>
      </w:r>
    </w:p>
    <w:p>
      <w:pPr>
        <w:pStyle w:val="Heading3"/>
      </w:pPr>
      <w:r>
        <w:t xml:space="preserve">4.2.1 Demographic and Socioeconomic Baseline Questionnaire</w:t>
      </w:r>
    </w:p>
    <w:p>
      <w:pPr>
        <w:spacing w:line="360" w:after="200"/>
        <w:jc w:val="left"/>
      </w:pPr>
      <w:r>
        <w:rPr>
          <w:rFonts w:ascii="Times New Roman" w:cs="Times New Roman" w:eastAsia="Times New Roman" w:hAnsi="Times New Roman"/>
          <w:sz w:val="24"/>
          <w:szCs w:val="24"/>
        </w:rPr>
        <w:t xml:space="preserve">The baseline questionnaire collects demographic variables (gender, age group, race/ethnicity, first-generation college status), financial context variables (employment status, financial stress frequency, self-rated financial knowledge), and behavioral variables (primary financial information source, prior financial education exposure, current financial product usage). These variables serve as covariates in the heterogeneity analysis (RQ2) and as stratification variables for subgroup comparisons.</w:t>
      </w:r>
    </w:p>
    <w:p>
      <w:pPr>
        <w:pStyle w:val="Heading3"/>
      </w:pPr>
      <w:r>
        <w:t xml:space="preserve">4.2.2 Fixed Core Assessment (40 Items)</w:t>
      </w:r>
    </w:p>
    <w:p>
      <w:pPr>
        <w:spacing w:line="360" w:after="200"/>
        <w:jc w:val="left"/>
      </w:pPr>
      <w:r>
        <w:rPr>
          <w:rFonts w:ascii="Times New Roman" w:cs="Times New Roman" w:eastAsia="Times New Roman" w:hAnsi="Times New Roman"/>
          <w:sz w:val="24"/>
          <w:szCs w:val="24"/>
        </w:rPr>
        <w:t xml:space="preserve">The fixed core comprises 40 multiple-choice and true/false items organized into three domains: Borrowing, Interest Rates, and Financial Numeracy (14 items); Risk and Return Knowledge (14 items); and Behavioral and Risk Management Knowledge (12 items). Items were adapted from established instruments including Lusardi and Mitchell’s Big Three and Big Five, the OECD/INFE financial literacy toolkit, the Jump$tart College Financial Literacy Survey, and original items developed for this study. Each item includes a confidence self-assessment on a 3-point scale (not confident, somewhat confident, very confident) to support calibration analysis.</w:t>
      </w:r>
    </w:p>
    <w:p>
      <w:pPr>
        <w:pStyle w:val="Heading3"/>
      </w:pPr>
      <w:r>
        <w:t xml:space="preserve">4.2.3 Supplemental Diagnostic Module (SDM-10)</w:t>
      </w:r>
    </w:p>
    <w:p>
      <w:pPr>
        <w:spacing w:line="360" w:after="200"/>
        <w:jc w:val="left"/>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drew only from knowledge items (Q1–Q14, Q29–Q40); preference items (Q15–Q28) did not trigger adaptive follow-up. The SDM-10 was designed as a diagnostic complement to the anchor assessment and does not contribute to the student’s grade (Model C: diagnostic only), eliminating grade pressure that could discourage honest explanations.</w:t>
      </w:r>
    </w:p>
    <w:p>
      <w:pPr>
        <w:spacing w:line="360" w:after="200"/>
      </w:pPr>
      <w:r>
        <w:rPr>
          <w:rFonts w:ascii="Times New Roman" w:cs="Times New Roman" w:eastAsia="Times New Roman" w:hAnsi="Times New Roman"/>
          <w:b/>
          <w:bCs/>
          <w:sz w:val="24"/>
          <w:szCs w:val="24"/>
        </w:rPr>
        <w:t xml:space="preserve">Information Deficit Model and Need Score. </w:t>
      </w: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before="240" w:after="120"/>
        <w:jc w:val="center"/>
      </w:pPr>
      <w:r>
        <w:rPr>
          <w:rFonts w:ascii="Times New Roman" w:cs="Times New Roman" w:eastAsia="Times New Roman" w:hAnsi="Times New Roman"/>
          <w:b/>
          <w:bCs/>
          <w:i/>
          <w:iCs/>
          <w:sz w:val="22"/>
          <w:szCs w:val="22"/>
        </w:rPr>
        <w:t xml:space="preserve">Table 4.2.3a.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pPr>
      <w:r>
        <w:rPr>
          <w:rFonts w:ascii="Times New Roman" w:cs="Times New Roman" w:eastAsia="Times New Roman" w:hAnsi="Times New Roman"/>
          <w:b/>
          <w:bCs/>
          <w:sz w:val="24"/>
          <w:szCs w:val="24"/>
        </w:rPr>
        <w:t xml:space="preserve">Item Bank and Variant Types. </w:t>
      </w:r>
      <w:r>
        <w:rPr>
          <w:rFonts w:ascii="Times New Roman" w:cs="Times New Roman" w:eastAsia="Times New Roman" w:hAnsi="Times New Roman"/>
          <w:sz w:val="24"/>
          <w:szCs w:val="24"/>
        </w:rPr>
        <w:t xml:space="preserve">The item bank contains 156 pre-written variants organized into six types: Lower_TF (foundational true/false), Lower_MCQ (foundational multiple choice), Same_MCQ (parallel difficulty), Higher_MCQ (applied/transfer), Open_Confirm (explain correct reasoning), and Open_Diagnose (explain incorrect reasoning). Each variant is mapped to the same subcategory as its anchor item. The variant type assigned to each subcategory is determined by the anchor response pattern: incorrect answers with high confidence trigger Open_Diagnose items to surface misconceptions, while correct answers with low confidence trigger Open_Confirm items to verify understanding.</w:t>
      </w:r>
    </w:p>
    <w:p>
      <w:pPr>
        <w:spacing w:before="240" w:after="120"/>
        <w:jc w:val="center"/>
      </w:pPr>
      <w:r>
        <w:rPr>
          <w:rFonts w:ascii="Times New Roman" w:cs="Times New Roman" w:eastAsia="Times New Roman" w:hAnsi="Times New Roman"/>
          <w:b/>
          <w:bCs/>
          <w:i/>
          <w:iCs/>
          <w:sz w:val="22"/>
          <w:szCs w:val="22"/>
        </w:rPr>
        <w:t xml:space="preserve">Table 4.2.3b.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line="360" w:after="200"/>
      </w:pPr>
      <w:r>
        <w:rPr>
          <w:rFonts w:ascii="Times New Roman" w:cs="Times New Roman" w:eastAsia="Times New Roman" w:hAnsi="Times New Roman"/>
          <w:b/>
          <w:bCs/>
          <w:sz w:val="24"/>
          <w:szCs w:val="24"/>
        </w:rPr>
        <w:t xml:space="preserve">Selection Algorithm. </w:t>
      </w: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A five-level tiebreaker hierarchy resolves equal Need scores: (1) domain deficit, (2) format priority (True/False over MCQ), (3) subcategory spread (max 2 per subcategory), (4) domain order, and (5) seeded random selection. Open-ended items are capped at 3 per student; when the cap is reached, Open_Diagnose falls back to Lower_MCQ and Open_Confirm falls back to Same_MCQ.</w:t>
      </w:r>
    </w:p>
    <w:p>
      <w:pPr>
        <w:spacing w:line="360" w:after="200"/>
      </w:pPr>
      <w:r>
        <w:rPr>
          <w:rFonts w:ascii="Times New Roman" w:cs="Times New Roman" w:eastAsia="Times New Roman" w:hAnsi="Times New Roman"/>
          <w:b/>
          <w:bCs/>
          <w:sz w:val="24"/>
          <w:szCs w:val="24"/>
        </w:rPr>
        <w:t xml:space="preserve">Three-Way Classification. </w:t>
      </w:r>
      <w:r>
        <w:rPr>
          <w:rFonts w:ascii="Times New Roman" w:cs="Times New Roman" w:eastAsia="Times New Roman" w:hAnsi="Times New Roman"/>
          <w:sz w:val="24"/>
          <w:szCs w:val="24"/>
        </w:rPr>
        <w:t xml:space="preserve">Every open-ended response is classified into one of three categories: misconception (student holds a specific wrong mental model), knowledge gap (student lacks knowledge—blank, “I don’t know,” or unfamiliar with terms), or selection error (student demonstrates correct understanding but selected the wrong anchor answer due to misreading, misclick, or True/False reversal). This classification drives differentiated follow-up: misconceptions require targeted correction, knowledge gaps require instruction from foundational principles, and selection errors flag item ambiguity for revision.</w:t>
      </w:r>
    </w:p>
    <w:p>
      <w:pPr>
        <w:spacing w:line="360" w:after="200"/>
      </w:pPr>
      <w:r>
        <w:rPr>
          <w:rFonts w:ascii="Times New Roman" w:cs="Times New Roman" w:eastAsia="Times New Roman" w:hAnsi="Times New Roman"/>
          <w:b/>
          <w:bCs/>
          <w:sz w:val="24"/>
          <w:szCs w:val="24"/>
        </w:rPr>
        <w:t xml:space="preserve">Misconception Taxonomy. </w:t>
      </w:r>
      <w:r>
        <w:rPr>
          <w:rFonts w:ascii="Times New Roman" w:cs="Times New Roman" w:eastAsia="Times New Roman" w:hAnsi="Times New Roman"/>
          <w:sz w:val="24"/>
          <w:szCs w:val="24"/>
        </w:rPr>
        <w:t xml:space="preserve">A two-layer taxonomy structures misconception classification. Layer 1 contains 37 generalizable financial literacy misconception families organized into seven categories: Inflation and Purchasing Power (5 families), Interest, Compounding, and Time Value of Money (7 families), Risk, Return, and Diversification (10 families), Insurance and Risk Management (5 families), Borrowing, Credit, and Personal Finance (6 families), Financial Crises and Systemic Risk (3 families), and Numeracy (1 family). Layer 1 codes are designed to transfer across assessment contexts and student populations. Layer 2 contains item-specific tags derived from observed student response patterns, providing granularity within each Layer 1 family. The complete taxonomy is presented in Appendix C.</w:t>
      </w:r>
    </w:p>
    <w:p>
      <w:pPr>
        <w:spacing w:line="360" w:after="200"/>
      </w:pPr>
      <w:r>
        <w:rPr>
          <w:rFonts w:ascii="Times New Roman" w:cs="Times New Roman" w:eastAsia="Times New Roman" w:hAnsi="Times New Roman"/>
          <w:b/>
          <w:bCs/>
          <w:sz w:val="24"/>
          <w:szCs w:val="24"/>
        </w:rPr>
        <w:t xml:space="preserve">AI-Assisted Scoring Pipeline. </w:t>
      </w:r>
      <w:r>
        <w:rPr>
          <w:rFonts w:ascii="Times New Roman" w:cs="Times New Roman" w:eastAsia="Times New Roman" w:hAnsi="Times New Roman"/>
          <w:sz w:val="24"/>
          <w:szCs w:val="24"/>
        </w:rPr>
        <w:t xml:space="preserve">Open-ended responses are scored using a large language model (GPT-4.1, OpenAI) accessed via the OpenRouter API. The model was selected through a multi-model concordance protocol in which 11 LLMs scored the same 20 responses and were evaluated on five quality criteria: schema compliance, error rate, classification nuance, throughput, and cost (Appendix D). Each response is processed with an item-specific prompt containing the anchor question context, the student’s selected answer and confidence level, applicable misconception families with calibration examples, and a decision tree for three-way classification. The model returns a structured JSON classification including diagnosis type, Layer 1 code, Layer 2 tag, credit score (0/50/100 measuring diagnostic value), classification confidence, an evidence quote, and a reasoning summary. Low-confidence classifications (approximately 5–10% of responses) are flagged for human review and adjudication by the course instructor. Prior work on LLM-based grading in business education found limited reliability when applying generic prompts to domain-specific content (Flodén, 2025). To address this, our pipeline uses item-specific prompts with calibration examples, a structured misconception taxonomy, and explicit decision trees, following the collaborative human-AI scoring model in which the LLM serves as a second rater whose low-confidence outputs are flagged for instructor adjudication (Olivos, Kamelski, &amp; Ascui-Gac, 2025). This approach follows established practices for LLM-based assessment scoring (Mizumoto &amp; Eguchi, 2024; Yavuz, 2025). All item selection decisions are deterministic and rule-based; the language model is used only for open-ended response classification.</w:t>
      </w:r>
    </w:p>
    <w:p>
      <w:pPr>
        <w:pStyle w:val="Heading2"/>
      </w:pPr>
      <w:r>
        <w:t xml:space="preserve">4.3 Platform and Data Collection</w:t>
      </w:r>
    </w:p>
    <w:p>
      <w:pPr>
        <w:spacing w:line="360" w:after="200"/>
        <w:jc w:val="left"/>
      </w:pPr>
      <w:r>
        <w:rPr>
          <w:rFonts w:ascii="Times New Roman" w:cs="Times New Roman" w:eastAsia="Times New Roman" w:hAnsi="Times New Roman"/>
          <w:sz w:val="24"/>
          <w:szCs w:val="24"/>
        </w:rPr>
        <w:t xml:space="preserve">To ensure standardized delivery and data integrity at scale, the questionnaire was administered through a dedicated web platform developed for this study: the Financial Literacy Toolkit. Students accessed the platform by entering their course code and university student ID number. The platform immediately transformed each student ID into a one-way cryptographic hash (SHA-256 with a per-course pepper) and discarded the raw identifier; all subsequent data storage and analysis use only the hashed key. The platform did not collect or store passwords, email addresses, or other personally identifiable information. After authentication, students reviewed an information and consent screen (see Section 4.4.3) and completed a brief onboarding process.</w:t>
      </w:r>
    </w:p>
    <w:p>
      <w:pPr>
        <w:spacing w:line="360" w:after="200"/>
        <w:jc w:val="left"/>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and large-scale surveys, including the Berlin Numeracy Test (BNT), Lipkus Numeracy Scale, Schwartz Numeracy Scale, the ‘Big Three’ (Lusardi and Mitchell), the FINRA National Financial Capability Study (NFCS) item sets including the NFCS extension ‘Big Five,’ the OECD/INFE Toolkit (2022), the P-Fin Index (including Retirement Fluency; TIAA and GFLEC), and related decision science and medical decision-making research instruments. An initial pool of approximately 80 candidate items was curated and refined to a 40-item anchor assessment. Each anchor question concept has pre-written variants by format (True/False, multiple choice, short open-ended) and level of understanding (foundational, comparable, applied), enabling targeted diagnostic follow-ups while maintaining a standardized 40-item anchor assessment. The complete platform source code, assessment instruments, and data processing scripts are publicly available in the project repository (Boulaid, 2026).</w:t>
      </w:r>
    </w:p>
    <w:p>
      <w:pPr>
        <w:pStyle w:val="Heading2"/>
      </w:pPr>
      <w:r>
        <w:t xml:space="preserve">4.4 Human Subjects Protections, Privacy, and FERPA Compliance</w:t>
      </w:r>
    </w:p>
    <w:p>
      <w:pPr>
        <w:pStyle w:val="Heading3"/>
      </w:pPr>
      <w:r>
        <w:t xml:space="preserve">4.4.1 Ethical Review and Regulatory Classification</w:t>
      </w:r>
    </w:p>
    <w:p>
      <w:pPr>
        <w:spacing w:line="360" w:after="200"/>
        <w:jc w:val="left"/>
      </w:pPr>
      <w:r>
        <w:rPr>
          <w:rFonts w:ascii="Times New Roman" w:cs="Times New Roman" w:eastAsia="Times New Roman" w:hAnsi="Times New Roman"/>
          <w:sz w:val="24"/>
          <w:szCs w:val="24"/>
        </w:rPr>
        <w:t xml:space="preserve">This study constitutes research with human subjects under federal regulations (45 CFR 46.102): it is a systematic investigation designed to contribute to generalizable knowledge about financial literacy education, conducted with living individuals from whom identifiable private information (educational assessment data linked via coded identifiers with a retained linking key) is collected through interaction (online survey administration). Because the study involves student educational records, the Family Educational Rights and Privacy Act (FERPA) applies. The study protocol has been prepared for submission to the Institutional Review Board at Loyola University Chicago (Office of Research Services, ORS@luc.edu). The study is expected to qualify for exempt review (Category 2: educational tests, surveys, and interview procedures with coded identifiers) or expedited review, given that the research presents no more than minimal risk to participants.</w:t>
      </w:r>
    </w:p>
    <w:p>
      <w:pPr>
        <w:pStyle w:val="Heading3"/>
      </w:pPr>
      <w:r>
        <w:t xml:space="preserve">4.4.2 Dual-Role Disclosure and Mitigation</w:t>
      </w:r>
    </w:p>
    <w:p>
      <w:pPr>
        <w:spacing w:line="360" w:after="200"/>
        <w:jc w:val="left"/>
      </w:pPr>
      <w:r>
        <w:rPr>
          <w:rFonts w:ascii="Times New Roman" w:cs="Times New Roman" w:eastAsia="Times New Roman" w:hAnsi="Times New Roman"/>
          <w:sz w:val="24"/>
          <w:szCs w:val="24"/>
        </w:rPr>
        <w:t xml:space="preserve">Members of the research team hold instructional roles in Quinn 102, creating a potential conflict of interest. Specifically, the instructor-researcher dual role may produce undue influence if students perceive that declining research participation could affect their course standing. Three safeguards address this concern. First, the assessment is a required course assignment for all enrolled students regardless of research participation; the research consent decision pertains only to whether a student’s data may be used for analysis beyond course purposes. Second, the platform presents research consent as a clearly separated, voluntary choice (see Section 4.4.3) with explicit language stating that declining has no impact on grades, course standing, or the student’s relationship with the instructor. Third, the research dataset is de-identified; instructional personnel access only the course-administration dataset (for confirming assignment completion) and cannot determine which students consented or declined research participation during the grading period.</w:t>
      </w:r>
    </w:p>
    <w:p>
      <w:pPr>
        <w:pStyle w:val="Heading3"/>
      </w:pPr>
      <w:r>
        <w:t xml:space="preserve">4.4.3 Informed Consent</w:t>
      </w:r>
    </w:p>
    <w:p>
      <w:pPr>
        <w:spacing w:line="360" w:after="200"/>
        <w:jc w:val="left"/>
      </w:pPr>
      <w:r>
        <w:rPr>
          <w:rFonts w:ascii="Times New Roman" w:cs="Times New Roman" w:eastAsia="Times New Roman" w:hAnsi="Times New Roman"/>
          <w:sz w:val="24"/>
          <w:szCs w:val="24"/>
        </w:rPr>
        <w:t xml:space="preserve">The platform’s onboarding flow presented a two-part consent screen before any data collection:</w:t>
      </w:r>
    </w:p>
    <w:p>
      <w:pPr>
        <w:spacing w:line="360" w:after="200"/>
      </w:pPr>
      <w:r>
        <w:rPr>
          <w:rFonts w:ascii="Times New Roman" w:cs="Times New Roman" w:eastAsia="Times New Roman" w:hAnsi="Times New Roman"/>
          <w:b/>
          <w:bCs/>
          <w:sz w:val="24"/>
          <w:szCs w:val="24"/>
        </w:rPr>
        <w:t xml:space="preserve">Course requirement acknowledgment (mandatory). </w:t>
      </w:r>
      <w:r>
        <w:rPr>
          <w:rFonts w:ascii="Times New Roman" w:cs="Times New Roman" w:eastAsia="Times New Roman" w:hAnsi="Times New Roman"/>
          <w:sz w:val="24"/>
          <w:szCs w:val="24"/>
        </w:rPr>
        <w:t xml:space="preserve">Students reviewed the statement: “This assessment is a required course assignment in [course code]. Completion affects course credit, but your answers are not graded for correctness.” Students checked a required acknowledgment box: “I understand this assessment is required for the course.”</w:t>
      </w:r>
    </w:p>
    <w:p>
      <w:pPr>
        <w:spacing w:line="360" w:after="200"/>
      </w:pPr>
      <w:r>
        <w:rPr>
          <w:rFonts w:ascii="Times New Roman" w:cs="Times New Roman" w:eastAsia="Times New Roman" w:hAnsi="Times New Roman"/>
          <w:b/>
          <w:bCs/>
          <w:sz w:val="24"/>
          <w:szCs w:val="24"/>
        </w:rPr>
        <w:t xml:space="preserve">Research consent (voluntary). </w:t>
      </w:r>
      <w:r>
        <w:rPr>
          <w:rFonts w:ascii="Times New Roman" w:cs="Times New Roman" w:eastAsia="Times New Roman" w:hAnsi="Times New Roman"/>
          <w:sz w:val="24"/>
          <w:szCs w:val="24"/>
        </w:rPr>
        <w:t xml:space="preserve">Below the course acknowledgment, students read: “You may choose whether your responses are used for research evaluating course learning outcomes. Declining has no impact on grades.” Students selected one of two options: “Yes, I consent” or “No, I do not consent.” The default selection was “Yes, I consent.”</w:t>
      </w:r>
    </w:p>
    <w:p>
      <w:pPr>
        <w:spacing w:line="360" w:after="200"/>
        <w:jc w:val="left"/>
      </w:pPr>
      <w:r>
        <w:rPr>
          <w:rFonts w:ascii="Times New Roman" w:cs="Times New Roman" w:eastAsia="Times New Roman" w:hAnsi="Times New Roman"/>
          <w:sz w:val="24"/>
          <w:szCs w:val="24"/>
        </w:rPr>
        <w:t xml:space="preserve">Each student’s research consent decision, along with a timestamp and consent version identifier (version 1.0), was recorded in the database. Of the 421 students who submitted completed assessments, 353 (83.8%) consented to research use of their data and 68 (16.2%) declined. Students may withdraw research consent at any time by contacting the principal investigator; withdrawn data will be excluded from all subsequent analyses.</w:t>
      </w:r>
    </w:p>
    <w:p>
      <w:pPr>
        <w:spacing w:line="360" w:after="200"/>
        <w:jc w:val="left"/>
      </w:pPr>
      <w:r>
        <w:rPr>
          <w:rFonts w:ascii="Times New Roman" w:cs="Times New Roman" w:eastAsia="Times New Roman" w:hAnsi="Times New Roman"/>
          <w:sz w:val="24"/>
          <w:szCs w:val="24"/>
        </w:rPr>
        <w:t xml:space="preserve">A privacy notice was also displayed during onboarding: “Your Student ID is converted to a coded identifier before storage. Identifiable information, if collected for course administration, is stored separately from the research dataset and access is restricted. Research analysis uses de-identified data and is governed by your consent choice.”</w:t>
      </w:r>
    </w:p>
    <w:p>
      <w:pPr>
        <w:pStyle w:val="Heading3"/>
      </w:pPr>
      <w:r>
        <w:t xml:space="preserve">4.4.4 De-identification and Data Security</w:t>
      </w:r>
    </w:p>
    <w:p>
      <w:pPr>
        <w:spacing w:line="360" w:after="200"/>
        <w:jc w:val="left"/>
      </w:pPr>
      <w:r>
        <w:rPr>
          <w:rFonts w:ascii="Times New Roman" w:cs="Times New Roman" w:eastAsia="Times New Roman" w:hAnsi="Times New Roman"/>
          <w:sz w:val="24"/>
          <w:szCs w:val="24"/>
        </w:rPr>
        <w:t xml:space="preserve">Student identifiers were transformed into coded keys using a one-way cryptographic hash function (SHA-256) with a per-course pepper prior to storage. The hash is irreversible: given only the hashed key, it is computationally infeasible to recover the original student identifier. No raw student ID numbers, names, email addresses, or other personally identifiable information are stored in any database table used for research. The platform does not store IP addresses; IP data is used only transiently in memory for rate-limiting purposes and is never persisted to disk or database.</w:t>
      </w:r>
    </w:p>
    <w:p>
      <w:pPr>
        <w:spacing w:line="360" w:after="200"/>
        <w:jc w:val="left"/>
      </w:pPr>
      <w:r>
        <w:rPr>
          <w:rFonts w:ascii="Times New Roman" w:cs="Times New Roman" w:eastAsia="Times New Roman" w:hAnsi="Times New Roman"/>
          <w:sz w:val="24"/>
          <w:szCs w:val="24"/>
        </w:rPr>
        <w:t xml:space="preserve">The research dataset contains only the hashed identifier, assessment responses (answer selections, confidence ratings, open-ended text), baseline onboarding survey responses, scoring metadata, and timestamps. Course-administration linkage (for confirming assignment completion and reporting grades) is maintained separately with restricted access by authorized instructional personnel only.</w:t>
      </w:r>
    </w:p>
    <w:p>
      <w:pPr>
        <w:spacing w:line="360" w:after="200"/>
        <w:jc w:val="left"/>
      </w:pPr>
      <w:r>
        <w:rPr>
          <w:rFonts w:ascii="Times New Roman" w:cs="Times New Roman" w:eastAsia="Times New Roman" w:hAnsi="Times New Roman"/>
          <w:sz w:val="24"/>
          <w:szCs w:val="24"/>
        </w:rPr>
        <w:t xml:space="preserve">All sensitive demographic and financial fields in the baseline survey (household income, parental education, first-generation college status, financial aid status, debt level, financial stress) include a “Prefer not to answer” option, allowing students to participate without disclosing information they consider private. The demographic variables collected for heterogeneity analysis were selected to minimize re-identification risk. The survey collects age as a categorical range (e.g., “20 or under,” “above 20”) rather than exact date of birth, and does not collect geographic identifiers such as zip code or home address. Research has demonstrated that 87% of the U.S. population can be uniquely identified from the combination of five-digit zip code, gender, and date of birth (Sweeney, 2000); by design, this study collects none of these three identifiers in combination.</w:t>
      </w:r>
    </w:p>
    <w:p>
      <w:pPr>
        <w:pStyle w:val="Heading3"/>
      </w:pPr>
      <w:r>
        <w:t xml:space="preserve">4.4.5 Data Retention and Destruction</w:t>
      </w:r>
    </w:p>
    <w:p>
      <w:pPr>
        <w:spacing w:line="360" w:after="200"/>
        <w:jc w:val="left"/>
      </w:pPr>
      <w:r>
        <w:rPr>
          <w:rFonts w:ascii="Times New Roman" w:cs="Times New Roman" w:eastAsia="Times New Roman" w:hAnsi="Times New Roman"/>
          <w:sz w:val="24"/>
          <w:szCs w:val="24"/>
        </w:rPr>
        <w:t xml:space="preserve">Research data will be retained for a minimum of three years following study completion, consistent with the Common Rule retention requirements, or longer if required by Loyola University Chicago institutional policy. During the retention period, de-identified data will be stored on password-protected, encrypted servers with access restricted to authorized members of the research team. The course-administration linking key (which enables grade reporting) will be destroyed after final course grades have been posted for the Spring 2026 semester. After the retention period expires, all electronic research files will be permanently deleted. The principal investigator is responsible for data destruction and will maintain documentation of the destruction process.</w:t>
      </w:r>
    </w:p>
    <w:p>
      <w:pPr>
        <w:pStyle w:val="Heading3"/>
      </w:pPr>
      <w:r>
        <w:t xml:space="preserve">4.4.6 Ethical Framework</w:t>
      </w:r>
    </w:p>
    <w:p>
      <w:pPr>
        <w:spacing w:line="360" w:after="200"/>
        <w:jc w:val="left"/>
      </w:pPr>
      <w:r>
        <w:rPr>
          <w:rFonts w:ascii="Times New Roman" w:cs="Times New Roman" w:eastAsia="Times New Roman" w:hAnsi="Times New Roman"/>
          <w:sz w:val="24"/>
          <w:szCs w:val="24"/>
        </w:rPr>
        <w:t xml:space="preserve">The study design addresses the three principles of the Belmont Report (National Commission, 1979):</w:t>
      </w:r>
    </w:p>
    <w:p>
      <w:pPr>
        <w:spacing w:line="360" w:after="200"/>
      </w:pPr>
      <w:r>
        <w:rPr>
          <w:rFonts w:ascii="Times New Roman" w:cs="Times New Roman" w:eastAsia="Times New Roman" w:hAnsi="Times New Roman"/>
          <w:b/>
          <w:bCs/>
          <w:sz w:val="24"/>
          <w:szCs w:val="24"/>
        </w:rPr>
        <w:t xml:space="preserve">Respect for Persons. </w:t>
      </w:r>
      <w:r>
        <w:rPr>
          <w:rFonts w:ascii="Times New Roman" w:cs="Times New Roman" w:eastAsia="Times New Roman" w:hAnsi="Times New Roman"/>
          <w:sz w:val="24"/>
          <w:szCs w:val="24"/>
        </w:rPr>
        <w:t xml:space="preserve">Research participation is voluntary and clearly separated from the required course assignment. Students provide informed consent through a structured, accessible consent screen that states the study purpose, procedures, risks, and the right to decline or withdraw without penalty. The consent process is designed to be comprehensible without specialized knowledge.</w:t>
      </w:r>
    </w:p>
    <w:p>
      <w:pPr>
        <w:spacing w:line="360" w:after="200"/>
      </w:pPr>
      <w:r>
        <w:rPr>
          <w:rFonts w:ascii="Times New Roman" w:cs="Times New Roman" w:eastAsia="Times New Roman" w:hAnsi="Times New Roman"/>
          <w:b/>
          <w:bCs/>
          <w:sz w:val="24"/>
          <w:szCs w:val="24"/>
        </w:rPr>
        <w:t xml:space="preserve">Beneficence. </w:t>
      </w:r>
      <w:r>
        <w:rPr>
          <w:rFonts w:ascii="Times New Roman" w:cs="Times New Roman" w:eastAsia="Times New Roman" w:hAnsi="Times New Roman"/>
          <w:sz w:val="24"/>
          <w:szCs w:val="24"/>
        </w:rPr>
        <w:t xml:space="preserve">The study presents minimal risk: the assessment covers standard financial literacy content encountered in normal educational practice, and the primary risk — breach of confidentiality — is mitigated through one-way cryptographic hashing, de-identified datasets, separate key storage, restricted access controls, and the absence of direct identifiers in the research file. Sensitive survey items include “Prefer not to answer” options to reduce discomfort. There is no direct benefit to individual participants; the anticipated benefit is improved financial literacy instruction for future cohorts based on empirical evidence of learning outcomes and knowledge gaps.</w:t>
      </w:r>
    </w:p>
    <w:p>
      <w:pPr>
        <w:spacing w:line="360" w:after="200"/>
      </w:pPr>
      <w:r>
        <w:rPr>
          <w:rFonts w:ascii="Times New Roman" w:cs="Times New Roman" w:eastAsia="Times New Roman" w:hAnsi="Times New Roman"/>
          <w:b/>
          <w:bCs/>
          <w:sz w:val="24"/>
          <w:szCs w:val="24"/>
        </w:rPr>
        <w:t xml:space="preserve">Justice. </w:t>
      </w:r>
      <w:r>
        <w:rPr>
          <w:rFonts w:ascii="Times New Roman" w:cs="Times New Roman" w:eastAsia="Times New Roman" w:hAnsi="Times New Roman"/>
          <w:sz w:val="24"/>
          <w:szCs w:val="24"/>
        </w:rPr>
        <w:t xml:space="preserve">Participants are selected on the basis of research relevance — enrollment in Quinn 102 (Financial Literacy) — rather than convenience or vulnerability. All enrolled students receive equal opportunity to complete the assessment (as a course requirement) and to consent or decline research participation. No students are excluded from the study on the basis of demographic characteristics.</w:t>
      </w:r>
    </w:p>
    <w:p>
      <w:pPr>
        <w:pStyle w:val="Heading2"/>
      </w:pPr>
      <w:r>
        <w:t xml:space="preserve">4.5 Analytical Framework</w:t>
      </w:r>
    </w:p>
    <w:p>
      <w:pPr>
        <w:spacing w:line="360" w:after="200"/>
        <w:jc w:val="left"/>
      </w:pPr>
      <w:r>
        <w:rPr>
          <w:rFonts w:ascii="Times New Roman" w:cs="Times New Roman" w:eastAsia="Times New Roman" w:hAnsi="Times New Roman"/>
          <w:sz w:val="24"/>
          <w:szCs w:val="24"/>
        </w:rPr>
        <w:t xml:space="preserve">The analytical framework addresses both research questions through complementary methods. Pre-course results are reported descriptively; pre-to-post comparisons and regression analyses will be conducted after the post-course administration.</w:t>
      </w:r>
    </w:p>
    <w:p>
      <w:pPr>
        <w:pStyle w:val="Heading3"/>
      </w:pPr>
      <w:r>
        <w:t xml:space="preserve">4.5.1 RQ1: Learning Gains</w:t>
      </w:r>
    </w:p>
    <w:p>
      <w:pPr>
        <w:spacing w:line="360" w:after="200"/>
        <w:jc w:val="left"/>
      </w:pPr>
      <w:r>
        <w:rPr>
          <w:rFonts w:ascii="Times New Roman" w:cs="Times New Roman" w:eastAsia="Times New Roman" w:hAnsi="Times New Roman"/>
          <w:sz w:val="24"/>
          <w:szCs w:val="24"/>
        </w:rPr>
        <w:t xml:space="preserve">Learning gains are measured as within-student score changes from pre to post, computed at the overall, domain, and subdomain levels. Paired t-tests and Wilcoxon signed-rank tests will assess statistical significance. Effect sizes (Cohen’s d) will quantify practical significance. Item-level analysis will identify which specific knowledge areas improved most and least.</w:t>
      </w:r>
    </w:p>
    <w:p>
      <w:pPr>
        <w:pStyle w:val="Heading3"/>
      </w:pPr>
      <w:r>
        <w:t xml:space="preserve">4.5.2 RQ2: Heterogeneity</w:t>
      </w:r>
    </w:p>
    <w:p>
      <w:pPr>
        <w:spacing w:line="360" w:after="200"/>
        <w:jc w:val="left"/>
      </w:pPr>
      <w:r>
        <w:rPr>
          <w:rFonts w:ascii="Times New Roman" w:cs="Times New Roman" w:eastAsia="Times New Roman" w:hAnsi="Times New Roman"/>
          <w:sz w:val="24"/>
          <w:szCs w:val="24"/>
        </w:rPr>
        <w:t xml:space="preserve">Heterogeneity in learning gains is modeled using OLS regression with gain scores as the dependent variable and baseline demographic, financial context, and behavioral variables as predictors. Separate models are estimated for each domain to test whether predictors of learning differ across borrowing, investment, and risk management. Interaction terms test whether financial stress, employment status, and prior education moderate learning gains.</w:t>
      </w:r>
    </w:p>
    <w:p>
      <w:pPr>
        <w:pStyle w:val="Heading3"/>
      </w:pPr>
      <w:r>
        <w:t xml:space="preserve">4.5.3 Psychometric Validation</w:t>
      </w:r>
    </w:p>
    <w:p>
      <w:pPr>
        <w:spacing w:line="360" w:after="200"/>
        <w:jc w:val="left"/>
      </w:pPr>
      <w:r>
        <w:rPr>
          <w:rFonts w:ascii="Times New Roman" w:cs="Times New Roman" w:eastAsia="Times New Roman" w:hAnsi="Times New Roman"/>
          <w:sz w:val="24"/>
          <w:szCs w:val="24"/>
        </w:rPr>
        <w:t xml:space="preserve">Instrument reliability is assessed using Cronbach’s alpha for internal consistency at the overall and domain levels. Item discrimination is evaluated using point-biserial correlations. Confirmatory factor analysis tests the hypothesized three-domain structure. These psychometric results inform interpretation of learning gains and guide potential item revisions for future administrations.</w:t>
      </w:r>
    </w:p>
    <w:p>
      <w:pPr>
        <w:pStyle w:val="Heading1"/>
      </w:pPr>
      <w:r>
        <w:t xml:space="preserve">5. Pre-Course Assessment Results</w:t>
      </w:r>
    </w:p>
    <w:p>
      <w:pPr>
        <w:pStyle w:val="Heading2"/>
      </w:pPr>
      <w:r>
        <w:t xml:space="preserve">5.1 Participation and Completion</w:t>
      </w:r>
    </w:p>
    <w:p>
      <w:pPr>
        <w:spacing w:line="360" w:after="200"/>
        <w:jc w:val="left"/>
      </w:pPr>
      <w:r>
        <w:rPr>
          <w:rFonts w:ascii="Times New Roman" w:cs="Times New Roman" w:eastAsia="Times New Roman" w:hAnsi="Times New Roman"/>
          <w:sz w:val="24"/>
          <w:szCs w:val="24"/>
        </w:rPr>
        <w:t xml:space="preserve">The pre-course assessment was administered over an eight-day window from February 2 through February 9, 2026. A total of 433 students enrolled in the assessment platform, of whom 421 completed all sections, yielding a completion rate of 97.2%. Table 4.1 presents the daily enrollment and completion counts.</w:t>
      </w:r>
    </w:p>
    <w:p>
      <w:pPr>
        <w:spacing w:before="240" w:after="120"/>
        <w:jc w:val="center"/>
      </w:pPr>
      <w:r>
        <w:rPr>
          <w:rFonts w:ascii="Times New Roman" w:cs="Times New Roman" w:eastAsia="Times New Roman" w:hAnsi="Times New Roman"/>
          <w:b/>
          <w:bCs/>
          <w:i/>
          <w:iCs/>
          <w:sz w:val="22"/>
          <w:szCs w:val="22"/>
        </w:rPr>
        <w:t xml:space="preserve">Table 4.1. Daily Enrollment and Completion Counts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Date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Enrolled</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Completed</w:t>
            </w:r>
          </w:p>
        </w:tc>
      </w:tr>
      <w:tr>
        <w:tc>
          <w:tcPr>
            <w:tcW w:type="dxa" w:w="3120"/>
            <w:vAlign w:val="center"/>
          </w:tcPr>
          <w:p>
            <w:pPr>
              <w:jc w:val="center"/>
            </w:pPr>
            <w:r>
              <w:rPr>
                <w:rFonts w:ascii="Times New Roman" w:cs="Times New Roman" w:eastAsia="Times New Roman" w:hAnsi="Times New Roman"/>
                <w:sz w:val="22"/>
                <w:szCs w:val="22"/>
              </w:rPr>
              <w:t xml:space="preserve">Feb 2</w:t>
            </w:r>
          </w:p>
        </w:tc>
        <w:tc>
          <w:tcPr>
            <w:tcW w:type="dxa" w:w="3120"/>
            <w:vAlign w:val="center"/>
          </w:tcPr>
          <w:p>
            <w:pPr>
              <w:jc w:val="center"/>
            </w:pPr>
            <w:r>
              <w:rPr>
                <w:rFonts w:ascii="Times New Roman" w:cs="Times New Roman" w:eastAsia="Times New Roman" w:hAnsi="Times New Roman"/>
                <w:sz w:val="22"/>
                <w:szCs w:val="22"/>
              </w:rPr>
              <w:t xml:space="preserve">98</w:t>
            </w:r>
          </w:p>
        </w:tc>
        <w:tc>
          <w:tcPr>
            <w:tcW w:type="dxa" w:w="3120"/>
            <w:vAlign w:val="center"/>
          </w:tcPr>
          <w:p>
            <w:pPr>
              <w:jc w:val="center"/>
            </w:pPr>
            <w:r>
              <w:rPr>
                <w:rFonts w:ascii="Times New Roman" w:cs="Times New Roman" w:eastAsia="Times New Roman" w:hAnsi="Times New Roman"/>
                <w:sz w:val="22"/>
                <w:szCs w:val="22"/>
              </w:rPr>
              <w:t xml:space="preserve">93</w:t>
            </w:r>
          </w:p>
        </w:tc>
      </w:tr>
      <w:tr>
        <w:tc>
          <w:tcPr>
            <w:tcW w:type="dxa" w:w="3120"/>
            <w:vAlign w:val="center"/>
          </w:tcPr>
          <w:p>
            <w:pPr>
              <w:jc w:val="center"/>
            </w:pPr>
            <w:r>
              <w:rPr>
                <w:rFonts w:ascii="Times New Roman" w:cs="Times New Roman" w:eastAsia="Times New Roman" w:hAnsi="Times New Roman"/>
                <w:sz w:val="22"/>
                <w:szCs w:val="22"/>
              </w:rPr>
              <w:t xml:space="preserve">Feb 3</w:t>
            </w:r>
          </w:p>
        </w:tc>
        <w:tc>
          <w:tcPr>
            <w:tcW w:type="dxa" w:w="3120"/>
            <w:vAlign w:val="center"/>
          </w:tcPr>
          <w:p>
            <w:pPr>
              <w:jc w:val="center"/>
            </w:pPr>
            <w:r>
              <w:rPr>
                <w:rFonts w:ascii="Times New Roman" w:cs="Times New Roman" w:eastAsia="Times New Roman" w:hAnsi="Times New Roman"/>
                <w:sz w:val="22"/>
                <w:szCs w:val="22"/>
              </w:rPr>
              <w:t xml:space="preserve">51</w:t>
            </w:r>
          </w:p>
        </w:tc>
        <w:tc>
          <w:tcPr>
            <w:tcW w:type="dxa" w:w="3120"/>
            <w:vAlign w:val="center"/>
          </w:tcPr>
          <w:p>
            <w:pPr>
              <w:jc w:val="center"/>
            </w:pPr>
            <w:r>
              <w:rPr>
                <w:rFonts w:ascii="Times New Roman" w:cs="Times New Roman" w:eastAsia="Times New Roman" w:hAnsi="Times New Roman"/>
                <w:sz w:val="22"/>
                <w:szCs w:val="22"/>
              </w:rPr>
              <w:t xml:space="preserve">47</w:t>
            </w:r>
          </w:p>
        </w:tc>
      </w:tr>
      <w:tr>
        <w:tc>
          <w:tcPr>
            <w:tcW w:type="dxa" w:w="3120"/>
            <w:vAlign w:val="center"/>
          </w:tcPr>
          <w:p>
            <w:pPr>
              <w:jc w:val="center"/>
            </w:pPr>
            <w:r>
              <w:rPr>
                <w:rFonts w:ascii="Times New Roman" w:cs="Times New Roman" w:eastAsia="Times New Roman" w:hAnsi="Times New Roman"/>
                <w:sz w:val="22"/>
                <w:szCs w:val="22"/>
              </w:rPr>
              <w:t xml:space="preserve">Feb 4</w:t>
            </w:r>
          </w:p>
        </w:tc>
        <w:tc>
          <w:tcPr>
            <w:tcW w:type="dxa" w:w="3120"/>
            <w:vAlign w:val="center"/>
          </w:tcPr>
          <w:p>
            <w:pPr>
              <w:jc w:val="center"/>
            </w:pPr>
            <w:r>
              <w:rPr>
                <w:rFonts w:ascii="Times New Roman" w:cs="Times New Roman" w:eastAsia="Times New Roman" w:hAnsi="Times New Roman"/>
                <w:sz w:val="22"/>
                <w:szCs w:val="22"/>
              </w:rPr>
              <w:t xml:space="preserve">47</w:t>
            </w:r>
          </w:p>
        </w:tc>
        <w:tc>
          <w:tcPr>
            <w:tcW w:type="dxa" w:w="3120"/>
            <w:vAlign w:val="center"/>
          </w:tcPr>
          <w:p>
            <w:pPr>
              <w:jc w:val="center"/>
            </w:pPr>
            <w:r>
              <w:rPr>
                <w:rFonts w:ascii="Times New Roman" w:cs="Times New Roman" w:eastAsia="Times New Roman" w:hAnsi="Times New Roman"/>
                <w:sz w:val="22"/>
                <w:szCs w:val="22"/>
              </w:rPr>
              <w:t xml:space="preserve">46</w:t>
            </w:r>
          </w:p>
        </w:tc>
      </w:tr>
      <w:tr>
        <w:tc>
          <w:tcPr>
            <w:tcW w:type="dxa" w:w="3120"/>
            <w:vAlign w:val="center"/>
          </w:tcPr>
          <w:p>
            <w:pPr>
              <w:jc w:val="center"/>
            </w:pPr>
            <w:r>
              <w:rPr>
                <w:rFonts w:ascii="Times New Roman" w:cs="Times New Roman" w:eastAsia="Times New Roman" w:hAnsi="Times New Roman"/>
                <w:sz w:val="22"/>
                <w:szCs w:val="22"/>
              </w:rPr>
              <w:t xml:space="preserve">Feb 5</w:t>
            </w:r>
          </w:p>
        </w:tc>
        <w:tc>
          <w:tcPr>
            <w:tcW w:type="dxa" w:w="3120"/>
            <w:vAlign w:val="center"/>
          </w:tcPr>
          <w:p>
            <w:pPr>
              <w:jc w:val="center"/>
            </w:pPr>
            <w:r>
              <w:rPr>
                <w:rFonts w:ascii="Times New Roman" w:cs="Times New Roman" w:eastAsia="Times New Roman" w:hAnsi="Times New Roman"/>
                <w:sz w:val="22"/>
                <w:szCs w:val="22"/>
              </w:rPr>
              <w:t xml:space="preserve">37</w:t>
            </w:r>
          </w:p>
        </w:tc>
        <w:tc>
          <w:tcPr>
            <w:tcW w:type="dxa" w:w="3120"/>
            <w:vAlign w:val="center"/>
          </w:tcPr>
          <w:p>
            <w:pPr>
              <w:jc w:val="center"/>
            </w:pPr>
            <w:r>
              <w:rPr>
                <w:rFonts w:ascii="Times New Roman" w:cs="Times New Roman" w:eastAsia="Times New Roman" w:hAnsi="Times New Roman"/>
                <w:sz w:val="22"/>
                <w:szCs w:val="22"/>
              </w:rPr>
              <w:t xml:space="preserve">36</w:t>
            </w:r>
          </w:p>
        </w:tc>
      </w:tr>
      <w:tr>
        <w:tc>
          <w:tcPr>
            <w:tcW w:type="dxa" w:w="3120"/>
            <w:vAlign w:val="center"/>
          </w:tcPr>
          <w:p>
            <w:pPr>
              <w:jc w:val="center"/>
            </w:pPr>
            <w:r>
              <w:rPr>
                <w:rFonts w:ascii="Times New Roman" w:cs="Times New Roman" w:eastAsia="Times New Roman" w:hAnsi="Times New Roman"/>
                <w:sz w:val="22"/>
                <w:szCs w:val="22"/>
              </w:rPr>
              <w:t xml:space="preserve">Feb 6</w:t>
            </w:r>
          </w:p>
        </w:tc>
        <w:tc>
          <w:tcPr>
            <w:tcW w:type="dxa" w:w="3120"/>
            <w:vAlign w:val="center"/>
          </w:tcPr>
          <w:p>
            <w:pPr>
              <w:jc w:val="center"/>
            </w:pPr>
            <w:r>
              <w:rPr>
                <w:rFonts w:ascii="Times New Roman" w:cs="Times New Roman" w:eastAsia="Times New Roman" w:hAnsi="Times New Roman"/>
                <w:sz w:val="22"/>
                <w:szCs w:val="22"/>
              </w:rPr>
              <w:t xml:space="preserve">43</w:t>
            </w:r>
          </w:p>
        </w:tc>
        <w:tc>
          <w:tcPr>
            <w:tcW w:type="dxa" w:w="3120"/>
            <w:vAlign w:val="center"/>
          </w:tcPr>
          <w:p>
            <w:pPr>
              <w:jc w:val="center"/>
            </w:pPr>
            <w:r>
              <w:rPr>
                <w:rFonts w:ascii="Times New Roman" w:cs="Times New Roman" w:eastAsia="Times New Roman" w:hAnsi="Times New Roman"/>
                <w:sz w:val="22"/>
                <w:szCs w:val="22"/>
              </w:rPr>
              <w:t xml:space="preserve">43</w:t>
            </w:r>
          </w:p>
        </w:tc>
      </w:tr>
      <w:tr>
        <w:tc>
          <w:tcPr>
            <w:tcW w:type="dxa" w:w="3120"/>
            <w:vAlign w:val="center"/>
          </w:tcPr>
          <w:p>
            <w:pPr>
              <w:jc w:val="center"/>
            </w:pPr>
            <w:r>
              <w:rPr>
                <w:rFonts w:ascii="Times New Roman" w:cs="Times New Roman" w:eastAsia="Times New Roman" w:hAnsi="Times New Roman"/>
                <w:sz w:val="22"/>
                <w:szCs w:val="22"/>
              </w:rPr>
              <w:t xml:space="preserve">Feb 7</w:t>
            </w:r>
          </w:p>
        </w:tc>
        <w:tc>
          <w:tcPr>
            <w:tcW w:type="dxa" w:w="3120"/>
            <w:vAlign w:val="center"/>
          </w:tcPr>
          <w:p>
            <w:pPr>
              <w:jc w:val="center"/>
            </w:pPr>
            <w:r>
              <w:rPr>
                <w:rFonts w:ascii="Times New Roman" w:cs="Times New Roman" w:eastAsia="Times New Roman" w:hAnsi="Times New Roman"/>
                <w:sz w:val="22"/>
                <w:szCs w:val="22"/>
              </w:rPr>
              <w:t xml:space="preserve">38</w:t>
            </w:r>
          </w:p>
        </w:tc>
        <w:tc>
          <w:tcPr>
            <w:tcW w:type="dxa" w:w="3120"/>
            <w:vAlign w:val="center"/>
          </w:tcPr>
          <w:p>
            <w:pPr>
              <w:jc w:val="center"/>
            </w:pPr>
            <w:r>
              <w:rPr>
                <w:rFonts w:ascii="Times New Roman" w:cs="Times New Roman" w:eastAsia="Times New Roman" w:hAnsi="Times New Roman"/>
                <w:sz w:val="22"/>
                <w:szCs w:val="22"/>
              </w:rPr>
              <w:t xml:space="preserve">38</w:t>
            </w:r>
          </w:p>
        </w:tc>
      </w:tr>
      <w:tr>
        <w:tc>
          <w:tcPr>
            <w:tcW w:type="dxa" w:w="3120"/>
            <w:vAlign w:val="center"/>
          </w:tcPr>
          <w:p>
            <w:pPr>
              <w:jc w:val="center"/>
            </w:pPr>
            <w:r>
              <w:rPr>
                <w:rFonts w:ascii="Times New Roman" w:cs="Times New Roman" w:eastAsia="Times New Roman" w:hAnsi="Times New Roman"/>
                <w:sz w:val="22"/>
                <w:szCs w:val="22"/>
              </w:rPr>
              <w:t xml:space="preserve">Feb 8</w:t>
            </w:r>
          </w:p>
        </w:tc>
        <w:tc>
          <w:tcPr>
            <w:tcW w:type="dxa" w:w="3120"/>
            <w:vAlign w:val="center"/>
          </w:tcPr>
          <w:p>
            <w:pPr>
              <w:jc w:val="center"/>
            </w:pPr>
            <w:r>
              <w:rPr>
                <w:rFonts w:ascii="Times New Roman" w:cs="Times New Roman" w:eastAsia="Times New Roman" w:hAnsi="Times New Roman"/>
                <w:sz w:val="22"/>
                <w:szCs w:val="22"/>
              </w:rPr>
              <w:t xml:space="preserve">56</w:t>
            </w:r>
          </w:p>
        </w:tc>
        <w:tc>
          <w:tcPr>
            <w:tcW w:type="dxa" w:w="3120"/>
            <w:vAlign w:val="center"/>
          </w:tcPr>
          <w:p>
            <w:pPr>
              <w:jc w:val="center"/>
            </w:pPr>
            <w:r>
              <w:rPr>
                <w:rFonts w:ascii="Times New Roman" w:cs="Times New Roman" w:eastAsia="Times New Roman" w:hAnsi="Times New Roman"/>
                <w:sz w:val="22"/>
                <w:szCs w:val="22"/>
              </w:rPr>
              <w:t xml:space="preserve">56</w:t>
            </w:r>
          </w:p>
        </w:tc>
      </w:tr>
      <w:tr>
        <w:tc>
          <w:tcPr>
            <w:tcW w:type="dxa" w:w="3120"/>
            <w:vAlign w:val="center"/>
          </w:tcPr>
          <w:p>
            <w:pPr>
              <w:jc w:val="center"/>
            </w:pPr>
            <w:r>
              <w:rPr>
                <w:rFonts w:ascii="Times New Roman" w:cs="Times New Roman" w:eastAsia="Times New Roman" w:hAnsi="Times New Roman"/>
                <w:sz w:val="22"/>
                <w:szCs w:val="22"/>
              </w:rPr>
              <w:t xml:space="preserve">Feb 9</w:t>
            </w:r>
          </w:p>
        </w:tc>
        <w:tc>
          <w:tcPr>
            <w:tcW w:type="dxa" w:w="3120"/>
            <w:vAlign w:val="center"/>
          </w:tcPr>
          <w:p>
            <w:pPr>
              <w:jc w:val="center"/>
            </w:pPr>
            <w:r>
              <w:rPr>
                <w:rFonts w:ascii="Times New Roman" w:cs="Times New Roman" w:eastAsia="Times New Roman" w:hAnsi="Times New Roman"/>
                <w:sz w:val="22"/>
                <w:szCs w:val="22"/>
              </w:rPr>
              <w:t xml:space="preserve">63</w:t>
            </w:r>
          </w:p>
        </w:tc>
        <w:tc>
          <w:tcPr>
            <w:tcW w:type="dxa" w:w="3120"/>
            <w:vAlign w:val="center"/>
          </w:tcPr>
          <w:p>
            <w:pPr>
              <w:jc w:val="center"/>
            </w:pPr>
            <w:r>
              <w:rPr>
                <w:rFonts w:ascii="Times New Roman" w:cs="Times New Roman" w:eastAsia="Times New Roman" w:hAnsi="Times New Roman"/>
                <w:sz w:val="22"/>
                <w:szCs w:val="22"/>
              </w:rPr>
              <w:t xml:space="preserve">62</w:t>
            </w:r>
          </w:p>
        </w:tc>
      </w:tr>
      <w:tr>
        <w:tc>
          <w:tcPr>
            <w:tcW w:type="dxa" w:w="3120"/>
            <w:vAlign w:val="center"/>
          </w:tcPr>
          <w:p>
            <w:pPr>
              <w:jc w:val="center"/>
            </w:pPr>
            <w:r>
              <w:rPr>
                <w:rFonts w:ascii="Times New Roman" w:cs="Times New Roman" w:eastAsia="Times New Roman" w:hAnsi="Times New Roman"/>
                <w:sz w:val="22"/>
                <w:szCs w:val="22"/>
              </w:rPr>
              <w:t xml:space="preserve">Total</w:t>
            </w:r>
          </w:p>
        </w:tc>
        <w:tc>
          <w:tcPr>
            <w:tcW w:type="dxa" w:w="3120"/>
            <w:vAlign w:val="center"/>
          </w:tcPr>
          <w:p>
            <w:pPr>
              <w:jc w:val="center"/>
            </w:pPr>
            <w:r>
              <w:rPr>
                <w:rFonts w:ascii="Times New Roman" w:cs="Times New Roman" w:eastAsia="Times New Roman" w:hAnsi="Times New Roman"/>
                <w:sz w:val="22"/>
                <w:szCs w:val="22"/>
              </w:rPr>
              <w:t xml:space="preserve">433</w:t>
            </w:r>
          </w:p>
        </w:tc>
        <w:tc>
          <w:tcPr>
            <w:tcW w:type="dxa" w:w="3120"/>
            <w:vAlign w:val="center"/>
          </w:tcPr>
          <w:p>
            <w:pPr>
              <w:jc w:val="center"/>
            </w:pPr>
            <w:r>
              <w:rPr>
                <w:rFonts w:ascii="Times New Roman" w:cs="Times New Roman" w:eastAsia="Times New Roman" w:hAnsi="Times New Roman"/>
                <w:sz w:val="22"/>
                <w:szCs w:val="22"/>
              </w:rPr>
              <w:t xml:space="preserve">421</w:t>
            </w:r>
          </w:p>
        </w:tc>
      </w:tr>
    </w:tbl>
    <w:p>
      <w:pPr>
        <w:spacing w:before="240" w:after="120"/>
        <w:jc w:val="center"/>
      </w:pPr>
      <w:r>
        <w:drawing>
          <wp:inline distT="0" distB="0" distL="0" distR="0">
            <wp:extent cx="5524500" cy="3619500"/>
            <wp:effectExtent t="0" r="0" b="0" l="0"/>
            <wp:docPr id="1" name="fig3" descr="Daily Enrollment and Completion (Feb 2-9,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1. Daily Enrollment and Completion (Feb 2-9, 2026)</w:t>
      </w:r>
    </w:p>
    <w:p>
      <w:pPr>
        <w:spacing w:line="360" w:after="200"/>
        <w:jc w:val="left"/>
      </w:pPr>
      <w:r>
        <w:rPr>
          <w:rFonts w:ascii="Times New Roman" w:cs="Times New Roman" w:eastAsia="Times New Roman" w:hAnsi="Times New Roman"/>
          <w:sz w:val="24"/>
          <w:szCs w:val="24"/>
        </w:rPr>
        <w:t xml:space="preserve">Figure 1 displays the daily enrollment and assessment completion counts alongside cumulative totals over the 8-day assessment window. The dual-axis chart shows that enrollment peaked on the first day (February 2, n = 98), consistent with students responding to the initial course announcement. A secondary surge occurred on the final two days (February 8-9, n = 119 combined), reflecting deadline-driven engagement. The cumulative lines demonstrate that the enrollment-to-completion gap remained narrow throughout, ultimately reaching 433 enrolled and 421 completed (97.2%). This high completion rate indicates strong platform reliability and student engagement with the required assessment.</w:t>
      </w:r>
    </w:p>
    <w:p>
      <w:pPr>
        <w:spacing w:before="240" w:after="120"/>
        <w:jc w:val="center"/>
      </w:pPr>
      <w:r>
        <w:drawing>
          <wp:inline distT="0" distB="0" distL="0" distR="0">
            <wp:extent cx="5524500" cy="3619500"/>
            <wp:effectExtent t="0" r="0" b="0" l="0"/>
            <wp:docPr id="1" name="fig4" descr="Assessment Submission Time of Day (N = 421)"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2. Assessment Submission Time of Day (N = 421)</w:t>
      </w:r>
    </w:p>
    <w:p>
      <w:pPr>
        <w:spacing w:line="360" w:after="200"/>
        <w:jc w:val="left"/>
      </w:pPr>
      <w:r>
        <w:rPr>
          <w:rFonts w:ascii="Times New Roman" w:cs="Times New Roman" w:eastAsia="Times New Roman" w:hAnsi="Times New Roman"/>
          <w:sz w:val="24"/>
          <w:szCs w:val="24"/>
        </w:rPr>
        <w:t xml:space="preserve">Figure 2 presents the distribution of assessment submission times across the 24-hour clock (CST). The area chart reveals a pronounced evening peak between 8:00 PM and 10:00 PM, when approximately 35% of all submissions occurred. Morning hours (6:00 AM–12:00 PM) accounted for fewer than 10% of completions, with the lowest activity between 2:00 AM and 7:00 AM. A secondary afternoon uptick is visible between 2:00 PM and 5:00 PM. This temporal pattern is consistent with typical college student schedules, where academic tasks are concentrated in evening hours after classes and extracurricular activities. The strong evening concentration also suggests that students treated the assessment as a focused task rather than a casual activity, which supports the validity of the measured completion times.</w:t>
      </w:r>
    </w:p>
    <w:p>
      <w:pPr>
        <w:pStyle w:val="Heading2"/>
      </w:pPr>
      <w:r>
        <w:t xml:space="preserve">5.2 Sample Demographics</w:t>
      </w:r>
    </w:p>
    <w:p>
      <w:pPr>
        <w:spacing w:line="360" w:after="200"/>
        <w:jc w:val="left"/>
      </w:pPr>
      <w:r>
        <w:rPr>
          <w:rFonts w:ascii="Times New Roman" w:cs="Times New Roman" w:eastAsia="Times New Roman" w:hAnsi="Times New Roman"/>
          <w:sz w:val="24"/>
          <w:szCs w:val="24"/>
        </w:rPr>
        <w:t xml:space="preserve">The sample of 421 completers is predominantly female (58.4%), traditional college age (87.4% aged 20 or under), and racially diverse. White/Caucasian students comprise roughly half the sample (49.4%), with meaningful representation from Hispanic/Latino (22.3%), Asian (13.3%), and Black/African American (6.9%) students. Nearly three-quarters of respondents report part-time employment (72.2%), and approximately one-third are first-generation college students (28.5%). This demographic composition provides sufficient variation to support the planned heterogeneity analysis in RQ2.</w:t>
      </w:r>
    </w:p>
    <w:p>
      <w:pPr>
        <w:spacing w:before="240" w:after="120"/>
        <w:jc w:val="center"/>
      </w:pPr>
      <w:r>
        <w:drawing>
          <wp:inline distT="0" distB="0" distL="0" distR="0">
            <wp:extent cx="5715000" cy="3333750"/>
            <wp:effectExtent t="0" r="0" b="0" l="0"/>
            <wp:docPr id="1" name="fig7" descr="Sample Demographics (N = 42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3. Sample Demographics (N = 421)</w:t>
      </w:r>
    </w:p>
    <w:p>
      <w:pPr>
        <w:spacing w:line="360" w:after="200"/>
        <w:jc w:val="left"/>
      </w:pPr>
      <w:r>
        <w:rPr>
          <w:rFonts w:ascii="Times New Roman" w:cs="Times New Roman" w:eastAsia="Times New Roman" w:hAnsi="Times New Roman"/>
          <w:sz w:val="24"/>
          <w:szCs w:val="24"/>
        </w:rPr>
        <w:t xml:space="preserve">Figure 3 presents the demographic composition of the sample across five dimensions. Panel (a) shows the gender split (58.4% female, 40.2% male). Panel (b) confirms a predominantly traditional-age sample (87.4% aged 20 or under). Panel (c) reveals meaningful racial and ethnic diversity, with White/Caucasian students comprising roughly half (49.4%) and substantial representation from Hispanic/Latino (22.3%), Asian (13.3%), and Black/African American (6.9%) students. Panel (d) shows that nearly three-quarters of students work part-time (72.2%), while panel (e) indicates that nearly one-third are first-generation college students (28.5%). This demographic profile provides meaningful variation for the planned heterogeneity analysis (RQ2) examining whether learning gains differ across student subgroups.</w:t>
      </w:r>
    </w:p>
    <w:p>
      <w:pPr>
        <w:pStyle w:val="Heading2"/>
      </w:pPr>
      <w:r>
        <w:t xml:space="preserve">5.3 Financial Background</w:t>
      </w:r>
    </w:p>
    <w:p>
      <w:pPr>
        <w:spacing w:line="360" w:after="200"/>
        <w:jc w:val="left"/>
      </w:pPr>
      <w:r>
        <w:rPr>
          <w:rFonts w:ascii="Times New Roman" w:cs="Times New Roman" w:eastAsia="Times New Roman" w:hAnsi="Times New Roman"/>
          <w:sz w:val="24"/>
          <w:szCs w:val="24"/>
        </w:rPr>
        <w:t xml:space="preserve">Students report varying levels of financial stress and self-assessed financial knowledge. The majority experience financial stress sometimes (44.7%) or rarely (22.3%), though nearly a quarter (23.8%) report stress often or always. Self-rated financial knowledge clusters around moderate (60.1%) and low (25.2%), with only 14.5% rating themselves as high or very high. These distributions suggest a sample with meaningful financial concerns and generally modest self-assessed competence, consistent with the target population for an introductory financial literacy course.</w:t>
      </w:r>
    </w:p>
    <w:p>
      <w:pPr>
        <w:spacing w:before="240" w:after="120"/>
        <w:jc w:val="center"/>
      </w:pPr>
      <w:r>
        <w:drawing>
          <wp:inline distT="0" distB="0" distL="0" distR="0">
            <wp:extent cx="5715000" cy="3333750"/>
            <wp:effectExtent t="0" r="0" b="0" l="0"/>
            <wp:docPr id="1" name="fig8" descr="Financial Background and Self-Assessment (N = 42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4. Financial Background and Self-Assessment (N = 421)</w:t>
      </w:r>
    </w:p>
    <w:p>
      <w:pPr>
        <w:spacing w:line="360" w:after="200"/>
        <w:jc w:val="left"/>
      </w:pPr>
      <w:r>
        <w:rPr>
          <w:rFonts w:ascii="Times New Roman" w:cs="Times New Roman" w:eastAsia="Times New Roman" w:hAnsi="Times New Roman"/>
          <w:sz w:val="24"/>
          <w:szCs w:val="24"/>
        </w:rPr>
        <w:t xml:space="preserve">Figure 4 illustrates two key dimensions of students’ financial context. Panel (a) shows the distribution of self-reported financial stress: the majority of students experience stress sometimes (44.7%) or rarely (22.3%), but nearly a quarter (23.8%) report experiencing financial stress often or always, identifying a subgroup for whom financial literacy instruction carries immediate practical relevance. Panel (b) displays self-rated financial knowledge, where the vast majority rate themselves as moderate (60.1%) or low (25.2%). Only 14.5% rate their knowledge as high or very high. The predominance of moderate self-ratings, combined with the 66.6% average actual score, suggests reasonably calibrated self-assessment across the sample, consistent with the confidence calibration findings in Section 5.7.</w:t>
      </w:r>
    </w:p>
    <w:p>
      <w:pPr>
        <w:pStyle w:val="Heading2"/>
      </w:pPr>
      <w:r>
        <w:t xml:space="preserve">5.4 Overall Score Distribution</w:t>
      </w:r>
    </w:p>
    <w:p>
      <w:pPr>
        <w:spacing w:line="360" w:after="200"/>
        <w:jc w:val="left"/>
      </w:pPr>
      <w:r>
        <w:rPr>
          <w:rFonts w:ascii="Times New Roman" w:cs="Times New Roman" w:eastAsia="Times New Roman" w:hAnsi="Times New Roman"/>
          <w:sz w:val="24"/>
          <w:szCs w:val="24"/>
        </w:rPr>
        <w:t xml:space="preserve">The overall pre-course score distribution across the 26 scored knowledge items is summarized in the table below. The mean score of 66.55% indicates moderate baseline financial literacy, with substantial individual variation (SD = 17.38%).</w:t>
      </w:r>
    </w:p>
    <w:p>
      <w:pPr>
        <w:spacing w:before="240" w:after="120"/>
        <w:jc w:val="center"/>
      </w:pPr>
      <w:r>
        <w:rPr>
          <w:rFonts w:ascii="Times New Roman" w:cs="Times New Roman" w:eastAsia="Times New Roman" w:hAnsi="Times New Roman"/>
          <w:b/>
          <w:bCs/>
          <w:i/>
          <w:iCs/>
          <w:sz w:val="22"/>
          <w:szCs w:val="22"/>
        </w:rPr>
        <w:t xml:space="preserve">Table 5.1. Overall Pre-Course Score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Statistic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N</w:t>
            </w:r>
          </w:p>
        </w:tc>
        <w:tc>
          <w:tcPr>
            <w:tcW w:type="dxa" w:w="4680"/>
            <w:vAlign w:val="center"/>
          </w:tcPr>
          <w:p>
            <w:pPr>
              <w:jc w:val="center"/>
            </w:pPr>
            <w:r>
              <w:rPr>
                <w:rFonts w:ascii="Times New Roman" w:cs="Times New Roman" w:eastAsia="Times New Roman" w:hAnsi="Times New Roman"/>
                <w:sz w:val="22"/>
                <w:szCs w:val="22"/>
              </w:rPr>
              <w:t xml:space="preserve">421</w:t>
            </w:r>
          </w:p>
        </w:tc>
      </w:tr>
      <w:tr>
        <w:tc>
          <w:tcPr>
            <w:tcW w:type="dxa" w:w="4680"/>
            <w:vAlign w:val="center"/>
          </w:tcPr>
          <w:p>
            <w:pPr>
              <w:jc w:val="center"/>
            </w:pPr>
            <w:r>
              <w:rPr>
                <w:rFonts w:ascii="Times New Roman" w:cs="Times New Roman" w:eastAsia="Times New Roman" w:hAnsi="Times New Roman"/>
                <w:sz w:val="22"/>
                <w:szCs w:val="22"/>
              </w:rPr>
              <w:t xml:space="preserve">Mean</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Standard Deviation</w:t>
            </w:r>
          </w:p>
        </w:tc>
        <w:tc>
          <w:tcPr>
            <w:tcW w:type="dxa" w:w="4680"/>
            <w:vAlign w:val="center"/>
          </w:tcPr>
          <w:p>
            <w:pPr>
              <w:jc w:val="center"/>
            </w:pPr>
            <w:r>
              <w:rPr>
                <w:rFonts w:ascii="Times New Roman" w:cs="Times New Roman" w:eastAsia="Times New Roman" w:hAnsi="Times New Roman"/>
                <w:sz w:val="22"/>
                <w:szCs w:val="22"/>
              </w:rPr>
              <w:t xml:space="preserve">17.38%</w:t>
            </w:r>
          </w:p>
        </w:tc>
      </w:tr>
      <w:tr>
        <w:tc>
          <w:tcPr>
            <w:tcW w:type="dxa" w:w="4680"/>
            <w:vAlign w:val="center"/>
          </w:tcPr>
          <w:p>
            <w:pPr>
              <w:jc w:val="center"/>
            </w:pPr>
            <w:r>
              <w:rPr>
                <w:rFonts w:ascii="Times New Roman" w:cs="Times New Roman" w:eastAsia="Times New Roman" w:hAnsi="Times New Roman"/>
                <w:sz w:val="22"/>
                <w:szCs w:val="22"/>
              </w:rPr>
              <w:t xml:space="preserve">Minimum</w:t>
            </w:r>
          </w:p>
        </w:tc>
        <w:tc>
          <w:tcPr>
            <w:tcW w:type="dxa" w:w="4680"/>
            <w:vAlign w:val="center"/>
          </w:tcPr>
          <w:p>
            <w:pPr>
              <w:jc w:val="center"/>
            </w:pPr>
            <w:r>
              <w:rPr>
                <w:rFonts w:ascii="Times New Roman" w:cs="Times New Roman" w:eastAsia="Times New Roman" w:hAnsi="Times New Roman"/>
                <w:sz w:val="22"/>
                <w:szCs w:val="22"/>
              </w:rPr>
              <w:t xml:space="preserve">7.69%</w:t>
            </w:r>
          </w:p>
        </w:tc>
      </w:tr>
      <w:tr>
        <w:tc>
          <w:tcPr>
            <w:tcW w:type="dxa" w:w="4680"/>
            <w:vAlign w:val="center"/>
          </w:tcPr>
          <w:p>
            <w:pPr>
              <w:jc w:val="center"/>
            </w:pPr>
            <w:r>
              <w:rPr>
                <w:rFonts w:ascii="Times New Roman" w:cs="Times New Roman" w:eastAsia="Times New Roman" w:hAnsi="Times New Roman"/>
                <w:sz w:val="22"/>
                <w:szCs w:val="22"/>
              </w:rPr>
              <w:t xml:space="preserve">Maximum</w:t>
            </w:r>
          </w:p>
        </w:tc>
        <w:tc>
          <w:tcPr>
            <w:tcW w:type="dxa" w:w="4680"/>
            <w:vAlign w:val="center"/>
          </w:tcPr>
          <w:p>
            <w:pPr>
              <w:jc w:val="center"/>
            </w:pPr>
            <w:r>
              <w:rPr>
                <w:rFonts w:ascii="Times New Roman" w:cs="Times New Roman" w:eastAsia="Times New Roman" w:hAnsi="Times New Roman"/>
                <w:sz w:val="22"/>
                <w:szCs w:val="22"/>
              </w:rPr>
              <w:t xml:space="preserve">100.00%</w:t>
            </w:r>
          </w:p>
        </w:tc>
      </w:tr>
    </w:tbl>
    <w:p>
      <w:pPr>
        <w:spacing w:before="240" w:after="120"/>
        <w:jc w:val="center"/>
      </w:pPr>
      <w:r>
        <w:drawing>
          <wp:inline distT="0" distB="0" distL="0" distR="0">
            <wp:extent cx="5524500" cy="3619500"/>
            <wp:effectExtent t="0" r="0" b="0" l="0"/>
            <wp:docPr id="1" name="fig1" descr="Pre-Course Overall Score Distribution (N = 42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5. Pre-Course Overall Score Distribution (N = 421)</w:t>
      </w:r>
    </w:p>
    <w:p>
      <w:pPr>
        <w:spacing w:line="360" w:after="200"/>
        <w:jc w:val="left"/>
      </w:pPr>
      <w:r>
        <w:rPr>
          <w:rFonts w:ascii="Times New Roman" w:cs="Times New Roman" w:eastAsia="Times New Roman" w:hAnsi="Times New Roman"/>
          <w:sz w:val="24"/>
          <w:szCs w:val="24"/>
        </w:rPr>
        <w:t xml:space="preserve">Figure 5 displays the distribution of overall pre-course scores computed from the 26 knowledge items. The distribution is roughly bell-shaped with a slight left skew. The modal decile is 60-69% (n = 120, highlighted in gold), and the majority of students (67.2%) scored between 50% and 89%. The dashed green line marks the sample mean of 66.6%. Eleven students achieved perfect scores (100%), while 18 students (4.3%) scored below 30%, identifying a small group with substantial baseline knowledge gaps that the course may especially benefit. The overall shape suggests that most students enter QUINN 102 with moderate foundational financial literacy, with meaningful room for improvement in applied domains.</w:t>
      </w:r>
    </w:p>
    <w:p>
      <w:pPr>
        <w:pStyle w:val="Heading2"/>
      </w:pPr>
      <w:r>
        <w:t xml:space="preserve">5.5 Domain-Level Performance</w:t>
      </w:r>
    </w:p>
    <w:p>
      <w:pPr>
        <w:spacing w:line="360" w:after="200"/>
        <w:jc w:val="left"/>
      </w:pPr>
      <w:r>
        <w:rPr>
          <w:rFonts w:ascii="Times New Roman" w:cs="Times New Roman" w:eastAsia="Times New Roman" w:hAnsi="Times New Roman"/>
          <w:sz w:val="24"/>
          <w:szCs w:val="24"/>
        </w:rPr>
        <w:t xml:space="preserve">Performance varied meaningfully across the three assessment domains, with a 9.5 percentage-point gap between the strongest and weakest domains. The domain-level results are presented in the table below.</w:t>
      </w:r>
    </w:p>
    <w:p>
      <w:pPr>
        <w:spacing w:before="240" w:after="120"/>
        <w:jc w:val="center"/>
      </w:pPr>
      <w:r>
        <w:rPr>
          <w:rFonts w:ascii="Times New Roman" w:cs="Times New Roman" w:eastAsia="Times New Roman" w:hAnsi="Times New Roman"/>
          <w:b/>
          <w:bCs/>
          <w:i/>
          <w:iCs/>
          <w:sz w:val="22"/>
          <w:szCs w:val="22"/>
        </w:rPr>
        <w:t xml:space="preserve">Table 5.2. Domain-Level Performance Summary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6240"/>
        <w:gridCol w:w="3120"/>
      </w:tblGrid>
      <w:tr>
        <w:trPr>
          <w:tblHeader/>
        </w:trPr>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Score</w:t>
            </w:r>
          </w:p>
        </w:tc>
      </w:tr>
      <w:tr>
        <w:tc>
          <w:tcPr>
            <w:tcW w:type="dxa" w:w="6240"/>
            <w:vAlign w:val="center"/>
          </w:tcPr>
          <w:p>
            <w:pPr>
              <w:jc w:val="center"/>
            </w:pPr>
            <w:r>
              <w:rPr>
                <w:rFonts w:ascii="Times New Roman" w:cs="Times New Roman" w:eastAsia="Times New Roman" w:hAnsi="Times New Roman"/>
                <w:sz w:val="22"/>
                <w:szCs w:val="22"/>
              </w:rPr>
              <w:t xml:space="preserve">Behavioral &amp; Risk Management Knowledge</w:t>
            </w:r>
          </w:p>
        </w:tc>
        <w:tc>
          <w:tcPr>
            <w:tcW w:type="dxa" w:w="3120"/>
            <w:vAlign w:val="center"/>
          </w:tcPr>
          <w:p>
            <w:pPr>
              <w:jc w:val="center"/>
            </w:pPr>
            <w:r>
              <w:rPr>
                <w:rFonts w:ascii="Times New Roman" w:cs="Times New Roman" w:eastAsia="Times New Roman" w:hAnsi="Times New Roman"/>
                <w:sz w:val="22"/>
                <w:szCs w:val="22"/>
              </w:rPr>
              <w:t xml:space="preserve">73.46%</w:t>
            </w:r>
          </w:p>
        </w:tc>
      </w:tr>
      <w:tr>
        <w:tc>
          <w:tcPr>
            <w:tcW w:type="dxa" w:w="6240"/>
            <w:vAlign w:val="center"/>
          </w:tcPr>
          <w:p>
            <w:pPr>
              <w:jc w:val="center"/>
            </w:pPr>
            <w:r>
              <w:rPr>
                <w:rFonts w:ascii="Times New Roman" w:cs="Times New Roman" w:eastAsia="Times New Roman" w:hAnsi="Times New Roman"/>
                <w:sz w:val="22"/>
                <w:szCs w:val="22"/>
              </w:rPr>
              <w:t xml:space="preserve">Borrowing, Interest Rates &amp; Financial Numeracy</w:t>
            </w:r>
          </w:p>
        </w:tc>
        <w:tc>
          <w:tcPr>
            <w:tcW w:type="dxa" w:w="3120"/>
            <w:vAlign w:val="center"/>
          </w:tcPr>
          <w:p>
            <w:pPr>
              <w:jc w:val="center"/>
            </w:pPr>
            <w:r>
              <w:rPr>
                <w:rFonts w:ascii="Times New Roman" w:cs="Times New Roman" w:eastAsia="Times New Roman" w:hAnsi="Times New Roman"/>
                <w:sz w:val="22"/>
                <w:szCs w:val="22"/>
              </w:rPr>
              <w:t xml:space="preserve">69.33%</w:t>
            </w:r>
          </w:p>
        </w:tc>
      </w:tr>
      <w:tr>
        <w:tc>
          <w:tcPr>
            <w:tcW w:type="dxa" w:w="6240"/>
            <w:vAlign w:val="center"/>
          </w:tcPr>
          <w:p>
            <w:pPr>
              <w:jc w:val="center"/>
            </w:pPr>
            <w:r>
              <w:rPr>
                <w:rFonts w:ascii="Times New Roman" w:cs="Times New Roman" w:eastAsia="Times New Roman" w:hAnsi="Times New Roman"/>
                <w:sz w:val="22"/>
                <w:szCs w:val="22"/>
              </w:rPr>
              <w:t xml:space="preserve">Risk &amp; Return Knowledge</w:t>
            </w:r>
          </w:p>
        </w:tc>
        <w:tc>
          <w:tcPr>
            <w:tcW w:type="dxa" w:w="3120"/>
            <w:vAlign w:val="center"/>
          </w:tcPr>
          <w:p>
            <w:pPr>
              <w:jc w:val="center"/>
            </w:pPr>
            <w:r>
              <w:rPr>
                <w:rFonts w:ascii="Times New Roman" w:cs="Times New Roman" w:eastAsia="Times New Roman" w:hAnsi="Times New Roman"/>
                <w:sz w:val="22"/>
                <w:szCs w:val="22"/>
              </w:rPr>
              <w:t xml:space="preserve">63.97%</w:t>
            </w:r>
          </w:p>
        </w:tc>
      </w:tr>
    </w:tbl>
    <w:p>
      <w:pPr>
        <w:spacing w:before="240" w:after="120"/>
        <w:jc w:val="center"/>
      </w:pPr>
      <w:r>
        <w:drawing>
          <wp:inline distT="0" distB="0" distL="0" distR="0">
            <wp:extent cx="5524500" cy="3619500"/>
            <wp:effectExtent t="0" r="0" b="0" l="0"/>
            <wp:docPr id="1" name="fig2" descr="Domain-Level Performance Comparis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6. Domain-Level Performance Comparison</w:t>
      </w:r>
    </w:p>
    <w:p>
      <w:pPr>
        <w:spacing w:line="360" w:after="200"/>
        <w:jc w:val="left"/>
      </w:pPr>
      <w:r>
        <w:rPr>
          <w:rFonts w:ascii="Times New Roman" w:cs="Times New Roman" w:eastAsia="Times New Roman" w:hAnsi="Times New Roman"/>
          <w:sz w:val="24"/>
          <w:szCs w:val="24"/>
        </w:rPr>
        <w:t xml:space="preserve">Figure 6 compares average performance across the three assessment domains. Behavioral and Risk Management Knowledge (73.5%) was the strongest domain, driven by high performance on diversification concepts. Borrowing, Interest Rates, and Financial Numeracy (69.3%) fell near the overall average. Risk and Return Knowledge (64.0%) was the weakest domain, reflecting conceptual difficulty with bond pricing, inflation protection, and crisis-related items. Error bars represent standard deviations, indicating substantial within-domain variation. The dashed maroon line marks the overall mean (66.6%). The 9.5 percentage-point gap between the strongest and weakest domains highlights where instructional emphasis may yield the greatest gains.</w:t>
      </w:r>
    </w:p>
    <w:p>
      <w:pPr>
        <w:pStyle w:val="Heading2"/>
      </w:pPr>
      <w:r>
        <w:t xml:space="preserve">5.6 Subdomain Analysis</w:t>
      </w:r>
    </w:p>
    <w:p>
      <w:pPr>
        <w:spacing w:line="360" w:after="200"/>
        <w:jc w:val="left"/>
      </w:pPr>
      <w:r>
        <w:rPr>
          <w:rFonts w:ascii="Times New Roman" w:cs="Times New Roman" w:eastAsia="Times New Roman" w:hAnsi="Times New Roman"/>
          <w:sz w:val="24"/>
          <w:szCs w:val="24"/>
        </w:rPr>
        <w:t xml:space="preserve">Item-level analysis reveals a clear hierarchy from foundational concepts (simple interest at 92.9%, compound interest at 88.4%) to applied reasoning tasks (inflation hedge at 24.0%, compound growth at 38.7%). This pattern indicates that students possess solid grasp of basic financial principles but struggle with multi-step reasoning and real-world application scenarios.</w:t>
      </w:r>
    </w:p>
    <w:p>
      <w:pPr>
        <w:spacing w:before="240" w:after="120"/>
        <w:jc w:val="center"/>
      </w:pPr>
      <w:r>
        <w:drawing>
          <wp:inline distT="0" distB="0" distL="0" distR="0">
            <wp:extent cx="5524500" cy="3619500"/>
            <wp:effectExtent t="0" r="0" b="0" l="0"/>
            <wp:docPr id="1" name="fig6" descr="Item Difficulty Ranking by Subdomain (N = 42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7. Item Difficulty Ranking by Subdomain (N = 421)</w:t>
      </w:r>
    </w:p>
    <w:p>
      <w:pPr>
        <w:spacing w:line="360" w:after="200"/>
        <w:jc w:val="left"/>
      </w:pPr>
      <w:r>
        <w:rPr>
          <w:rFonts w:ascii="Times New Roman" w:cs="Times New Roman" w:eastAsia="Times New Roman" w:hAnsi="Times New Roman"/>
          <w:sz w:val="24"/>
          <w:szCs w:val="24"/>
        </w:rPr>
        <w:t xml:space="preserve">Figure 7 ranks all 21 assessed subdomains from easiest (top) to hardest (bottom). Color coding distinguishes three performance tiers: green indicates strong performance (&gt;=70% correct), gold indicates moderate performance (50-69%), and coral indicates weak performance (&lt;50%). A clear gap separates foundational concepts at the top -- simple interest (92.9%), compound interest (88.4%), impulse control (86.9%) -- from applied reasoning at the bottom -- inflation hedge (24.0%), compound growth (38.7%), return ranking (40.6%). This pattern suggests that students enter the course with solid grasp of basic financial principles but lack the ability to apply these concepts to real-world scenarios involving inflation protection, bond pricing, and multi-step financial reasoning. The dashed maroon line marks the overall mean (66.6%), with 10 subdomains above and 11 below this threshold.</w:t>
      </w:r>
    </w:p>
    <w:p>
      <w:pPr>
        <w:pStyle w:val="Heading2"/>
      </w:pPr>
      <w:r>
        <w:t xml:space="preserve">5.7 Confidence Calibration</w:t>
      </w:r>
    </w:p>
    <w:p>
      <w:pPr>
        <w:spacing w:line="360" w:after="200"/>
        <w:jc w:val="left"/>
      </w:pPr>
      <w:r>
        <w:rPr>
          <w:rFonts w:ascii="Times New Roman" w:cs="Times New Roman" w:eastAsia="Times New Roman" w:hAnsi="Times New Roman"/>
          <w:sz w:val="24"/>
          <w:szCs w:val="24"/>
        </w:rPr>
        <w:t xml:space="preserve">Confidence calibration analysis categorizes students based on the overconfidence index (OC), defined as the difference between average self-reported confidence and actual accuracy. The largest group is well-calibrated (41.1%, n = 173), followed by underconfident (32.8%, n = 138), moderately overconfident (19.0%, n = 79), and highly overconfident (7.1%, n = 29). The slightly negative mean OC index (-0.017) indicates that the sample was, on average, marginally underconfident, a profile that is constructive for learning engagement.</w:t>
      </w:r>
    </w:p>
    <w:p>
      <w:pPr>
        <w:spacing w:before="240" w:after="120"/>
        <w:jc w:val="center"/>
      </w:pPr>
      <w:r>
        <w:drawing>
          <wp:inline distT="0" distB="0" distL="0" distR="0">
            <wp:extent cx="5524500" cy="3619500"/>
            <wp:effectExtent t="0" r="0" b="0" l="0"/>
            <wp:docPr id="1" name="fig5" descr="Confidence Calibration Categories (N = 421)"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8. Confidence Calibration Categories (N = 421)</w:t>
      </w:r>
    </w:p>
    <w:p>
      <w:pPr>
        <w:spacing w:line="360" w:after="200"/>
        <w:jc w:val="left"/>
      </w:pPr>
      <w:r>
        <w:rPr>
          <w:rFonts w:ascii="Times New Roman" w:cs="Times New Roman" w:eastAsia="Times New Roman" w:hAnsi="Times New Roman"/>
          <w:sz w:val="24"/>
          <w:szCs w:val="24"/>
        </w:rPr>
        <w:t xml:space="preserve">Figure 8 presents the distribution of students across four confidence calibration categories based on the overconfidence index (OC), defined as the difference between average confidence and actual accuracy. The horizontal bar chart (left) shows both percentages and counts, while the pie chart (right) illustrates the proportional distribution. The largest group is well-calibrated (41.1%, n = 173), meaning their confidence closely matched their performance (OC within +/-10%). Nearly a third were underconfident (32.8%, n = 138), systematically underestimating their abilities. Moderately overconfident students (19.0%, n = 79) and highly overconfident students (7.1%, n = 29) together account for 26.1% of the sample. The slightly negative mean OC index (-0.017) indicates that the sample was, on average, marginally underconfident. This profile is constructive for learning, as overconfidence can reduce engagement with material perceived as already mastered.</w:t>
      </w:r>
    </w:p>
    <w:p>
      <w:pPr>
        <w:pStyle w:val="Heading2"/>
      </w:pPr>
      <w:r>
        <w:t xml:space="preserve">5.8 SDM-10 Diagnostic Summary</w:t>
      </w:r>
    </w:p>
    <w:p>
      <w:pPr>
        <w:spacing w:line="360" w:after="200"/>
        <w:jc w:val="left"/>
      </w:pPr>
      <w:r>
        <w:rPr>
          <w:rFonts w:ascii="Times New Roman" w:cs="Times New Roman" w:eastAsia="Times New Roman" w:hAnsi="Times New Roman"/>
          <w:sz w:val="24"/>
          <w:szCs w:val="24"/>
        </w:rPr>
        <w:t xml:space="preserve">All 421 students who completed the anchor assessment also completed the SDM-10 module (100% completion rate). The platform collected 3,985 total SDM responses (10 per student). The average SDM-10 score (58.92%) was approximately 7.6 percentage points lower than the average anchor score (66.55%), confirming that the adaptive selection algorithm appropriately targeted subcategories where students demonstrated weaker performance.</w:t>
      </w:r>
    </w:p>
    <w:p>
      <w:pPr>
        <w:spacing w:before="240" w:after="120"/>
        <w:jc w:val="center"/>
      </w:pPr>
      <w:r>
        <w:rPr>
          <w:rFonts w:ascii="Times New Roman" w:cs="Times New Roman" w:eastAsia="Times New Roman" w:hAnsi="Times New Roman"/>
          <w:b/>
          <w:bCs/>
          <w:i/>
          <w:iCs/>
          <w:sz w:val="22"/>
          <w:szCs w:val="22"/>
        </w:rPr>
        <w:t xml:space="preserve">Table 5.3. SDM-10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Students completing SDM-10</w:t>
            </w:r>
          </w:p>
        </w:tc>
        <w:tc>
          <w:tcPr>
            <w:tcW w:type="dxa" w:w="4680"/>
            <w:vAlign w:val="center"/>
          </w:tcPr>
          <w:p>
            <w:pPr>
              <w:jc w:val="center"/>
            </w:pPr>
            <w:r>
              <w:rPr>
                <w:rFonts w:ascii="Times New Roman" w:cs="Times New Roman" w:eastAsia="Times New Roman" w:hAnsi="Times New Roman"/>
                <w:sz w:val="22"/>
                <w:szCs w:val="22"/>
              </w:rPr>
              <w:t xml:space="preserve">421 (100%)</w:t>
            </w:r>
          </w:p>
        </w:tc>
      </w:tr>
      <w:tr>
        <w:tc>
          <w:tcPr>
            <w:tcW w:type="dxa" w:w="4680"/>
            <w:vAlign w:val="center"/>
          </w:tcPr>
          <w:p>
            <w:pPr>
              <w:jc w:val="center"/>
            </w:pPr>
            <w:r>
              <w:rPr>
                <w:rFonts w:ascii="Times New Roman" w:cs="Times New Roman" w:eastAsia="Times New Roman" w:hAnsi="Times New Roman"/>
                <w:sz w:val="22"/>
                <w:szCs w:val="22"/>
              </w:rPr>
              <w:t xml:space="preserve">Total SDM responses</w:t>
            </w:r>
          </w:p>
        </w:tc>
        <w:tc>
          <w:tcPr>
            <w:tcW w:type="dxa" w:w="4680"/>
            <w:vAlign w:val="center"/>
          </w:tcPr>
          <w:p>
            <w:pPr>
              <w:jc w:val="center"/>
            </w:pPr>
            <w:r>
              <w:rPr>
                <w:rFonts w:ascii="Times New Roman" w:cs="Times New Roman" w:eastAsia="Times New Roman" w:hAnsi="Times New Roman"/>
                <w:sz w:val="22"/>
                <w:szCs w:val="22"/>
              </w:rPr>
              <w:t xml:space="preserve">3,985</w:t>
            </w:r>
          </w:p>
        </w:tc>
      </w:tr>
      <w:tr>
        <w:tc>
          <w:tcPr>
            <w:tcW w:type="dxa" w:w="4680"/>
            <w:vAlign w:val="center"/>
          </w:tcPr>
          <w:p>
            <w:pPr>
              <w:jc w:val="center"/>
            </w:pPr>
            <w:r>
              <w:rPr>
                <w:rFonts w:ascii="Times New Roman" w:cs="Times New Roman" w:eastAsia="Times New Roman" w:hAnsi="Times New Roman"/>
                <w:sz w:val="22"/>
                <w:szCs w:val="22"/>
              </w:rPr>
              <w:t xml:space="preserve">Average SDM score</w:t>
            </w:r>
          </w:p>
        </w:tc>
        <w:tc>
          <w:tcPr>
            <w:tcW w:type="dxa" w:w="4680"/>
            <w:vAlign w:val="center"/>
          </w:tcPr>
          <w:p>
            <w:pPr>
              <w:jc w:val="center"/>
            </w:pPr>
            <w:r>
              <w:rPr>
                <w:rFonts w:ascii="Times New Roman" w:cs="Times New Roman" w:eastAsia="Times New Roman" w:hAnsi="Times New Roman"/>
                <w:sz w:val="22"/>
                <w:szCs w:val="22"/>
              </w:rPr>
              <w:t xml:space="preserve">58.92%</w:t>
            </w:r>
          </w:p>
        </w:tc>
      </w:tr>
      <w:tr>
        <w:tc>
          <w:tcPr>
            <w:tcW w:type="dxa" w:w="4680"/>
            <w:vAlign w:val="center"/>
          </w:tcPr>
          <w:p>
            <w:pPr>
              <w:jc w:val="center"/>
            </w:pPr>
            <w:r>
              <w:rPr>
                <w:rFonts w:ascii="Times New Roman" w:cs="Times New Roman" w:eastAsia="Times New Roman" w:hAnsi="Times New Roman"/>
                <w:sz w:val="22"/>
                <w:szCs w:val="22"/>
              </w:rPr>
              <w:t xml:space="preserve">Average anchor score</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367 (87.2%)</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931</w:t>
            </w:r>
          </w:p>
        </w:tc>
      </w:tr>
      <w:tr>
        <w:tc>
          <w:tcPr>
            <w:tcW w:type="dxa" w:w="4680"/>
            <w:vAlign w:val="center"/>
          </w:tcPr>
          <w:p>
            <w:pPr>
              <w:jc w:val="center"/>
            </w:pPr>
            <w:r>
              <w:rPr>
                <w:rFonts w:ascii="Times New Roman" w:cs="Times New Roman" w:eastAsia="Times New Roman" w:hAnsi="Times New Roman"/>
                <w:sz w:val="22"/>
                <w:szCs w:val="22"/>
              </w:rPr>
              <w:t xml:space="preserve">Diagnose responses (filtered)</w:t>
            </w:r>
          </w:p>
        </w:tc>
        <w:tc>
          <w:tcPr>
            <w:tcW w:type="dxa" w:w="4680"/>
            <w:vAlign w:val="center"/>
          </w:tcPr>
          <w:p>
            <w:pPr>
              <w:jc w:val="center"/>
            </w:pPr>
            <w:r>
              <w:rPr>
                <w:rFonts w:ascii="Times New Roman" w:cs="Times New Roman" w:eastAsia="Times New Roman" w:hAnsi="Times New Roman"/>
                <w:sz w:val="22"/>
                <w:szCs w:val="22"/>
              </w:rPr>
              <w:t xml:space="preserve">556</w:t>
            </w:r>
          </w:p>
        </w:tc>
      </w:tr>
      <w:tr>
        <w:tc>
          <w:tcPr>
            <w:tcW w:type="dxa" w:w="4680"/>
            <w:vAlign w:val="center"/>
          </w:tcPr>
          <w:p>
            <w:pPr>
              <w:jc w:val="center"/>
            </w:pPr>
            <w:r>
              <w:rPr>
                <w:rFonts w:ascii="Times New Roman" w:cs="Times New Roman" w:eastAsia="Times New Roman" w:hAnsi="Times New Roman"/>
                <w:sz w:val="22"/>
                <w:szCs w:val="22"/>
              </w:rPr>
              <w:t xml:space="preserve">Confirm responses (filtered)</w:t>
            </w:r>
          </w:p>
        </w:tc>
        <w:tc>
          <w:tcPr>
            <w:tcW w:type="dxa" w:w="4680"/>
            <w:vAlign w:val="center"/>
          </w:tcPr>
          <w:p>
            <w:pPr>
              <w:jc w:val="center"/>
            </w:pPr>
            <w:r>
              <w:rPr>
                <w:rFonts w:ascii="Times New Roman" w:cs="Times New Roman" w:eastAsia="Times New Roman" w:hAnsi="Times New Roman"/>
                <w:sz w:val="22"/>
                <w:szCs w:val="22"/>
              </w:rPr>
              <w:t xml:space="preserve">336</w:t>
            </w:r>
          </w:p>
        </w:tc>
      </w:tr>
    </w:tbl>
    <w:p>
      <w:pPr>
        <w:pStyle w:val="Heading3"/>
      </w:pPr>
      <w:r>
        <w:t xml:space="preserve">5.8.1 Open-Ended Response Overview</w:t>
      </w:r>
    </w:p>
    <w:p>
      <w:pPr>
        <w:spacing w:line="360" w:after="200"/>
        <w:jc w:val="left"/>
      </w:pPr>
      <w:r>
        <w:rPr>
          <w:rFonts w:ascii="Times New Roman" w:cs="Times New Roman" w:eastAsia="Times New Roman" w:hAnsi="Times New Roman"/>
          <w:sz w:val="24"/>
          <w:szCs w:val="24"/>
        </w:rPr>
        <w:t xml:space="preserve">Of the 421 completers, 367 students (87.2%) received at least one open-ended item, generating 931 open-ended responses. After filtering 40 responses affected by a stale anchor score synchronization issue (see Section 7), the analysis included 556 diagnose responses (explaining reasoning behind incorrect high-confidence answers) and 336 confirm responses (explaining reasoning behind correct low-confidence answers). The maximum number of open-ended items per student was 3, by design.</w:t>
      </w:r>
    </w:p>
    <w:p>
      <w:pPr>
        <w:spacing w:line="360" w:after="200"/>
      </w:pPr>
      <w:r>
        <w:rPr>
          <w:rFonts w:ascii="Times New Roman" w:cs="Times New Roman" w:eastAsia="Times New Roman" w:hAnsi="Times New Roman"/>
          <w:b/>
          <w:bCs/>
          <w:sz w:val="24"/>
          <w:szCs w:val="24"/>
        </w:rPr>
        <w:t xml:space="preserve">Response Quality. </w:t>
      </w:r>
      <w:r>
        <w:rPr>
          <w:rFonts w:ascii="Times New Roman" w:cs="Times New Roman" w:eastAsia="Times New Roman" w:hAnsi="Times New Roman"/>
          <w:sz w:val="24"/>
          <w:szCs w:val="24"/>
        </w:rPr>
        <w:t xml:space="preserve">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and received no grade incentive to provide detailed explanations.</w:t>
      </w:r>
    </w:p>
    <w:p>
      <w:pPr>
        <w:pStyle w:val="Heading3"/>
      </w:pPr>
      <w:r>
        <w:t xml:space="preserve">5.8.2 Misconception Analysis by Domain</w:t>
      </w:r>
    </w:p>
    <w:p>
      <w:pPr>
        <w:spacing w:line="360" w:after="200"/>
        <w:jc w:val="left"/>
      </w:pPr>
      <w:r>
        <w:rPr>
          <w:rFonts w:ascii="Times New Roman" w:cs="Times New Roman" w:eastAsia="Times New Roman" w:hAnsi="Times New Roman"/>
          <w:sz w:val="24"/>
          <w:szCs w:val="24"/>
        </w:rPr>
        <w:t xml:space="preserve">The three-way classification of open-ended responses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 </w:t>
      </w:r>
      <w:r>
        <w:rPr>
          <w:rFonts w:ascii="Times New Roman" w:cs="Times New Roman" w:eastAsia="Times New Roman" w:hAnsi="Times New Roman"/>
          <w:sz w:val="24"/>
          <w:szCs w:val="24"/>
        </w:rPr>
        <w:t xml:space="preserve">The most prevalent misconception was INF-01 (lower inflation equals falling prices), observed in 55% of diagnose responses for Q6. Students systematically confused a decrease in the rate of price increase with an actual decrease in prices. Representative responses included “If inflation decreases, prices will decrease” and “prices need to decrease to combat inflation.” On Q7 (which group is most hurt by inflation), 33% of incorrect responses reflected empathy-driven rather than economic reasoning (INF-05), with students selecting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 </w:t>
      </w:r>
      <w:r>
        <w:rPr>
          <w:rFonts w:ascii="Times New Roman" w:cs="Times New Roman" w:eastAsia="Times New Roman" w:hAnsi="Times New Roman"/>
          <w:sz w:val="24"/>
          <w:szCs w:val="24"/>
        </w:rPr>
        <w:t xml:space="preserve">The highest-noise item was Q36 (diversification principle), where 62% of students who answered incorrectly demonstrated correct understanding of diversification in their open-ended explanation—classifying as selection errors (RISK-04) rather than misconceptions. These students could explain why spreading money across assets reduces risk but selected “False” on the True/False item, likely due to negation confusion. This finding suggests the T/F format introduces substantial measurement noise and the item may benefit from MCQ revision. On Q35, students used real-world counterexamples from non-financial domains to argue against the general risk-return principle (RISK-10).</w:t>
      </w:r>
    </w:p>
    <w:p>
      <w:pPr>
        <w:spacing w:line="360" w:after="200"/>
      </w:pPr>
      <w:r>
        <w:rPr>
          <w:rFonts w:ascii="Times New Roman" w:cs="Times New Roman" w:eastAsia="Times New Roman" w:hAnsi="Times New Roman"/>
          <w:b/>
          <w:bCs/>
          <w:sz w:val="24"/>
          <w:szCs w:val="24"/>
        </w:rPr>
        <w:t xml:space="preserve">Insurance and Risk Management. </w:t>
      </w:r>
      <w:r>
        <w:rPr>
          <w:rFonts w:ascii="Times New Roman" w:cs="Times New Roman" w:eastAsia="Times New Roman" w:hAnsi="Times New Roman"/>
          <w:sz w:val="24"/>
          <w:szCs w:val="24"/>
        </w:rPr>
        <w:t xml:space="preserve">On Q12 (primary purpose of health insurance), 67% of diagnose responses reflected the misconception that routine care is the primary function (INS-01), with many students applying frequency-over-severity reasoning (INS-02). This was the single most dominant misconception for any item. Q13 (deductible definition) showed a 30% “I don’t know” rate, indicating a knowledge gap rather than misconception for this technical insurance term.</w:t>
      </w:r>
    </w:p>
    <w:p>
      <w:pPr>
        <w:spacing w:line="360" w:after="200"/>
      </w:pPr>
      <w:r>
        <w:rPr>
          <w:rFonts w:ascii="Times New Roman" w:cs="Times New Roman" w:eastAsia="Times New Roman" w:hAnsi="Times New Roman"/>
          <w:b/>
          <w:bCs/>
          <w:sz w:val="24"/>
          <w:szCs w:val="24"/>
        </w:rPr>
        <w:t xml:space="preserve">Borrowing and Credit. </w:t>
      </w:r>
      <w:r>
        <w:rPr>
          <w:rFonts w:ascii="Times New Roman" w:cs="Times New Roman" w:eastAsia="Times New Roman" w:hAnsi="Times New Roman"/>
          <w:sz w:val="24"/>
          <w:szCs w:val="24"/>
        </w:rPr>
        <w:t xml:space="preserve">Credit report knowledge (Q10) showed a 29% selection error rate, the third-highest among all items, indicating many students possessed correct understanding but were confused by the “which is FALSE” framing. On Q2 (mortgage term and total interest), 42% of incorrect responses were selection errors, with students correctly explaining the relationship but selecting the wrong True/False answer.</w:t>
      </w:r>
    </w:p>
    <w:p>
      <w:pPr>
        <w:pStyle w:val="Heading3"/>
      </w:pPr>
      <w:r>
        <w:t xml:space="preserve">5.8.3 Confirm Response Findings</w:t>
      </w:r>
    </w:p>
    <w:p>
      <w:pPr>
        <w:spacing w:line="360" w:after="200"/>
        <w:jc w:val="left"/>
      </w:pPr>
      <w:r>
        <w:rPr>
          <w:rFonts w:ascii="Times New Roman" w:cs="Times New Roman" w:eastAsia="Times New Roman" w:hAnsi="Times New Roman"/>
          <w:sz w:val="24"/>
          <w:szCs w:val="24"/>
        </w:rPr>
        <w:t xml:space="preserve">Analysis of confirm responses (correct anchor answer with low confidence) revealed that 12–14% of students who answered Q13, Q12, Q8, and Q10 correctly were likely lucky guesses, as their explanations showed no understanding of the underlying concept. This finding validates the SDM-10’s approach of probing low-confidence correct answers and demonstrates that anchor scores alone may overestimate true comprehension by approximately 12–14% on items with high guessing rates.</w:t>
      </w:r>
    </w:p>
    <w:p>
      <w:pPr>
        <w:pStyle w:val="Heading3"/>
      </w:pPr>
      <w:r>
        <w:t xml:space="preserve">5.8.4 Cross-Item Patterns</w:t>
      </w:r>
    </w:p>
    <w:p>
      <w:pPr>
        <w:spacing w:line="360" w:after="200"/>
        <w:jc w:val="left"/>
      </w:pPr>
      <w:r>
        <w:rPr>
          <w:rFonts w:ascii="Times New Roman" w:cs="Times New Roman" w:eastAsia="Times New Roman" w:hAnsi="Times New Roman"/>
          <w:sz w:val="24"/>
          <w:szCs w:val="24"/>
        </w:rPr>
        <w:t xml:space="preserve">Five dominant misconception clusters emerged across the assessment: (1) inflation mechanics confusion, centered on the distinction between lower inflation rates and lower prices; (2) risk-return reasoning from exceptions, where students cited specific counterexamples to invalidate general financial principles; (3) insurance purpose confusion, equating frequency of use with primary function; (4) empathy-driven financial reasoning, selecting answers based on personal identification rather than economic logic; and (5) format-induced errors, particularly on True/False items where correct knowledge led to incorrect answers due to negation confusion.</w:t>
      </w:r>
    </w:p>
    <w:p>
      <w:pPr>
        <w:spacing w:before="240" w:after="120"/>
        <w:jc w:val="center"/>
      </w:pPr>
      <w:r>
        <w:rPr>
          <w:rFonts w:ascii="Times New Roman" w:cs="Times New Roman" w:eastAsia="Times New Roman" w:hAnsi="Times New Roman"/>
          <w:b/>
          <w:bCs/>
          <w:i/>
          <w:iCs/>
          <w:sz w:val="22"/>
          <w:szCs w:val="22"/>
        </w:rPr>
        <w:t xml:space="preserve">Table 5.4. High-Noise Items (Selection Error Rate)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808"/>
        <w:gridCol w:w="1560"/>
        <w:gridCol w:w="3432"/>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2808"/>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3432"/>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2808"/>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62%</w:t>
            </w:r>
          </w:p>
        </w:tc>
        <w:tc>
          <w:tcPr>
            <w:tcW w:type="dxa" w:w="3432"/>
            <w:vAlign w:val="center"/>
          </w:tcPr>
          <w:p>
            <w:pPr>
              <w:jc w:val="center"/>
            </w:pPr>
            <w:r>
              <w:rPr>
                <w:rFonts w:ascii="Times New Roman" w:cs="Times New Roman" w:eastAsia="Times New Roman" w:hAnsi="Times New Roman"/>
                <w:sz w:val="22"/>
                <w:szCs w:val="22"/>
              </w:rPr>
              <w:t xml:space="preserve">T/F confounds; consider MCQ</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2808"/>
            <w:vAlign w:val="center"/>
          </w:tcPr>
          <w:p>
            <w:pPr>
              <w:jc w:val="center"/>
            </w:pPr>
            <w:r>
              <w:rPr>
                <w:rFonts w:ascii="Times New Roman" w:cs="Times New Roman" w:eastAsia="Times New Roman" w:hAnsi="Times New Roman"/>
                <w:sz w:val="22"/>
                <w:szCs w:val="22"/>
              </w:rPr>
              <w:t xml:space="preserve">Mortgage term / interest</w:t>
            </w:r>
          </w:p>
        </w:tc>
        <w:tc>
          <w:tcPr>
            <w:tcW w:type="dxa" w:w="1560"/>
            <w:vAlign w:val="center"/>
          </w:tcPr>
          <w:p>
            <w:pPr>
              <w:jc w:val="center"/>
            </w:pPr>
            <w:r>
              <w:rPr>
                <w:rFonts w:ascii="Times New Roman" w:cs="Times New Roman" w:eastAsia="Times New Roman" w:hAnsi="Times New Roman"/>
                <w:sz w:val="22"/>
                <w:szCs w:val="22"/>
              </w:rPr>
              <w:t xml:space="preserve">42%</w:t>
            </w:r>
          </w:p>
        </w:tc>
        <w:tc>
          <w:tcPr>
            <w:tcW w:type="dxa" w:w="3432"/>
            <w:vAlign w:val="center"/>
          </w:tcPr>
          <w:p>
            <w:pPr>
              <w:jc w:val="center"/>
            </w:pPr>
            <w:r>
              <w:rPr>
                <w:rFonts w:ascii="Times New Roman" w:cs="Times New Roman" w:eastAsia="Times New Roman" w:hAnsi="Times New Roman"/>
                <w:sz w:val="22"/>
                <w:szCs w:val="22"/>
              </w:rPr>
              <w:t xml:space="preserve">T/F reversal; monitor post-test</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2808"/>
            <w:vAlign w:val="center"/>
          </w:tcPr>
          <w:p>
            <w:pPr>
              <w:jc w:val="center"/>
            </w:pPr>
            <w:r>
              <w:rPr>
                <w:rFonts w:ascii="Times New Roman" w:cs="Times New Roman" w:eastAsia="Times New Roman" w:hAnsi="Times New Roman"/>
                <w:sz w:val="22"/>
                <w:szCs w:val="22"/>
              </w:rPr>
              <w:t xml:space="preserve">Credit reports (FALSE)</w:t>
            </w:r>
          </w:p>
        </w:tc>
        <w:tc>
          <w:tcPr>
            <w:tcW w:type="dxa" w:w="1560"/>
            <w:vAlign w:val="center"/>
          </w:tcPr>
          <w:p>
            <w:pPr>
              <w:jc w:val="center"/>
            </w:pPr>
            <w:r>
              <w:rPr>
                <w:rFonts w:ascii="Times New Roman" w:cs="Times New Roman" w:eastAsia="Times New Roman" w:hAnsi="Times New Roman"/>
                <w:sz w:val="22"/>
                <w:szCs w:val="22"/>
              </w:rPr>
              <w:t xml:space="preserve">29%</w:t>
            </w:r>
          </w:p>
        </w:tc>
        <w:tc>
          <w:tcPr>
            <w:tcW w:type="dxa" w:w="3432"/>
            <w:vAlign w:val="center"/>
          </w:tcPr>
          <w:p>
            <w:pPr>
              <w:jc w:val="center"/>
            </w:pPr>
            <w:r>
              <w:rPr>
                <w:rFonts w:ascii="Times New Roman" w:cs="Times New Roman" w:eastAsia="Times New Roman" w:hAnsi="Times New Roman"/>
                <w:sz w:val="22"/>
                <w:szCs w:val="22"/>
              </w:rPr>
              <w:t xml:space="preserve">Negation framing causes errors</w:t>
            </w:r>
          </w:p>
        </w:tc>
      </w:tr>
    </w:tbl>
    <w:p>
      <w:pPr>
        <w:pStyle w:val="Heading2"/>
      </w:pPr>
      <w:r>
        <w:t xml:space="preserve">5.9 Assessment Duration</w:t>
      </w:r>
    </w:p>
    <w:p>
      <w:pPr>
        <w:spacing w:line="360" w:after="200"/>
        <w:jc w:val="left"/>
      </w:pPr>
      <w:r>
        <w:rPr>
          <w:rFonts w:ascii="Times New Roman" w:cs="Times New Roman" w:eastAsia="Times New Roman" w:hAnsi="Times New Roman"/>
          <w:sz w:val="24"/>
          <w:szCs w:val="24"/>
        </w:rPr>
        <w:t xml:space="preserve">The median total assessment duration was 14.2 minutes (IQR: 10.8–18.6 minutes), within the target range of 12–18 minutes. The demographic section took a median of 2.1 minutes, the fixed core 8.9 minutes, and the SDM-10 3.2 minutes. Fewer than 3% of students required more than 25 minutes, and no students triggered the 45-minute maximum time limit. These duration metrics confirm that the assessment was appropriately calibrated for length and did not impose excessive burden on participants.</w:t>
      </w:r>
    </w:p>
    <w:p>
      <w:pPr>
        <w:pStyle w:val="Heading1"/>
      </w:pPr>
      <w:r>
        <w:t xml:space="preserve">6. Discussion</w:t>
      </w:r>
    </w:p>
    <w:p>
      <w:pPr>
        <w:spacing w:line="360" w:after="200"/>
      </w:pPr>
      <w:r>
        <w:rPr>
          <w:rFonts w:ascii="Times New Roman" w:cs="Times New Roman" w:eastAsia="Times New Roman" w:hAnsi="Times New Roman"/>
          <w:b/>
          <w:bCs/>
          <w:sz w:val="24"/>
          <w:szCs w:val="24"/>
        </w:rPr>
        <w:t xml:space="preserve">Strong baseline in foundational concepts. </w:t>
      </w:r>
      <w:r>
        <w:rPr>
          <w:rFonts w:ascii="Times New Roman" w:cs="Times New Roman" w:eastAsia="Times New Roman" w:hAnsi="Times New Roman"/>
          <w:sz w:val="24"/>
          <w:szCs w:val="24"/>
        </w:rPr>
        <w:t xml:space="preserve">Students demonstrate solid understanding of basic financial concepts such as simple interest (92.9%), compound interest (88.4%), and impulse control (86.9%). These results suggest that introductory-level concepts are well-covered by prior education or everyday experience, and that QUINN 102 can build on this foundation rather than reteaching fundamentals.</w:t>
      </w:r>
    </w:p>
    <w:p>
      <w:pPr>
        <w:spacing w:line="360" w:after="200"/>
      </w:pPr>
      <w:r>
        <w:rPr>
          <w:rFonts w:ascii="Times New Roman" w:cs="Times New Roman" w:eastAsia="Times New Roman" w:hAnsi="Times New Roman"/>
          <w:b/>
          <w:bCs/>
          <w:sz w:val="24"/>
          <w:szCs w:val="24"/>
        </w:rPr>
        <w:t xml:space="preserve">Significant gaps in applied financial reasoning. </w:t>
      </w:r>
      <w:r>
        <w:rPr>
          <w:rFonts w:ascii="Times New Roman" w:cs="Times New Roman" w:eastAsia="Times New Roman" w:hAnsi="Times New Roman"/>
          <w:sz w:val="24"/>
          <w:szCs w:val="24"/>
        </w:rPr>
        <w:t xml:space="preserve">The weakest subdomains—inflation hedge (24.0%), compound growth (38.7%), and return ranking (40.6%)—involve multi-step reasoning and real-world application. The 9.5 percentage-point gap between the strongest and weakest domains indicates that students struggle most with translating conceptual knowledge into practical decision-making, particularly in areas related to investment risk and inflation protection. These findings suggest that instructional emphasis on applied reasoning and scenario-based exercises may yield the greatest learning gains.</w:t>
      </w:r>
    </w:p>
    <w:p>
      <w:pPr>
        <w:spacing w:line="360" w:after="200"/>
      </w:pPr>
      <w:r>
        <w:rPr>
          <w:rFonts w:ascii="Times New Roman" w:cs="Times New Roman" w:eastAsia="Times New Roman" w:hAnsi="Times New Roman"/>
          <w:b/>
          <w:bCs/>
          <w:sz w:val="24"/>
          <w:szCs w:val="24"/>
        </w:rPr>
        <w:t xml:space="preserve">Generally well-calibrated confidence. </w:t>
      </w:r>
      <w:r>
        <w:rPr>
          <w:rFonts w:ascii="Times New Roman" w:cs="Times New Roman" w:eastAsia="Times New Roman" w:hAnsi="Times New Roman"/>
          <w:sz w:val="24"/>
          <w:szCs w:val="24"/>
        </w:rPr>
        <w:t xml:space="preserve">The predominance of well-calibrated (41.1%) and underconfident (32.8%) students is a constructive finding for learning. Underconfident students are likely to engage seriously with course material rather than dismissing it as already known. The 26.1% of students showing some degree of overconfidence represent a group that may benefit from targeted feedback highlighting specific knowledge gaps.</w:t>
      </w:r>
    </w:p>
    <w:p>
      <w:pPr>
        <w:spacing w:line="360" w:after="200"/>
      </w:pPr>
      <w:r>
        <w:rPr>
          <w:rFonts w:ascii="Times New Roman" w:cs="Times New Roman" w:eastAsia="Times New Roman" w:hAnsi="Times New Roman"/>
          <w:b/>
          <w:bCs/>
          <w:sz w:val="24"/>
          <w:szCs w:val="24"/>
        </w:rPr>
        <w:t xml:space="preserve">Financial stress as a relevant covariate. </w:t>
      </w:r>
      <w:r>
        <w:rPr>
          <w:rFonts w:ascii="Times New Roman" w:cs="Times New Roman" w:eastAsia="Times New Roman" w:hAnsi="Times New Roman"/>
          <w:sz w:val="24"/>
          <w:szCs w:val="24"/>
        </w:rPr>
        <w:t xml:space="preserve">Nearly a quarter of students (23.8%) report experiencing financial stress often or always. This subgroup may face competing cognitive demands that affect learning, and financial stress may also influence motivation and engagement with course content. The heterogeneity analysis (RQ2) will test whether financial stress predicts differential learning gains, informing potential accommodations or supplemental support structures.</w:t>
      </w:r>
    </w:p>
    <w:p>
      <w:pPr>
        <w:spacing w:line="360" w:after="200"/>
      </w:pPr>
      <w:r>
        <w:rPr>
          <w:rFonts w:ascii="Times New Roman" w:cs="Times New Roman" w:eastAsia="Times New Roman" w:hAnsi="Times New Roman"/>
          <w:b/>
          <w:bCs/>
          <w:sz w:val="24"/>
          <w:szCs w:val="24"/>
        </w:rPr>
        <w:t xml:space="preserve">Meaningful heterogeneity for RQ2 analysis. </w:t>
      </w:r>
      <w:r>
        <w:rPr>
          <w:rFonts w:ascii="Times New Roman" w:cs="Times New Roman" w:eastAsia="Times New Roman" w:hAnsi="Times New Roman"/>
          <w:sz w:val="24"/>
          <w:szCs w:val="24"/>
        </w:rPr>
        <w:t xml:space="preserve">The sample exhibits meaningful variation across demographics (gender, race/ethnicity, first-generation status), financial context (employment, stress, self-rated knowledge), and baseline performance (SD = 17.38%). This variation provides sufficient statistical power for the planned regression analyses of heterogeneous learning gains and supports subgroup comparisons across multiple dimensions.</w:t>
      </w:r>
    </w:p>
    <w:p>
      <w:pPr>
        <w:spacing w:line="360" w:after="200"/>
      </w:pPr>
      <w:r>
        <w:rPr>
          <w:rFonts w:ascii="Times New Roman" w:cs="Times New Roman" w:eastAsia="Times New Roman" w:hAnsi="Times New Roman"/>
          <w:b/>
          <w:bCs/>
          <w:sz w:val="24"/>
          <w:szCs w:val="24"/>
        </w:rPr>
        <w:t xml:space="preserve">SDM-10 diagnostic findings reveal actionable misconception patterns. </w:t>
      </w:r>
      <w:r>
        <w:rPr>
          <w:rFonts w:ascii="Times New Roman" w:cs="Times New Roman" w:eastAsia="Times New Roman" w:hAnsi="Times New Roman"/>
          <w:sz w:val="24"/>
          <w:szCs w:val="24"/>
        </w:rPr>
        <w:t xml:space="preserve">The three-way classification of 931 open-ended responses identified five dominant misconception clusters: inflation mechanics confusion (55% of Q6 diagnoses), insurance purpose confusion (67% of Q12 diagnoses), empathy-driven financial reasoning (33% of Q7 diagnoses), risk-return reasoning from exceptions, and format-induced selection errors. The finding that 62% of incorrect answers on Q36 reflected correct understanding (selection errors rather than misconceptions) demonstrates the value of open-ended diagnostic follow-up in distinguishing genuine knowledge gaps from measurement artifacts. The 12–14% lucky-guess rate identified through confirm responses further validates the information deficit model’s approach of probing low-confidence correct answers.</w:t>
      </w:r>
    </w:p>
    <w:p>
      <w:pPr>
        <w:spacing w:line="360" w:after="200"/>
      </w:pPr>
      <w:r>
        <w:rPr>
          <w:rFonts w:ascii="Times New Roman" w:cs="Times New Roman" w:eastAsia="Times New Roman" w:hAnsi="Times New Roman"/>
          <w:b/>
          <w:bCs/>
          <w:sz w:val="24"/>
          <w:szCs w:val="24"/>
        </w:rPr>
        <w:t xml:space="preserve">High completion rate reflects platform reliability. </w:t>
      </w:r>
      <w:r>
        <w:rPr>
          <w:rFonts w:ascii="Times New Roman" w:cs="Times New Roman" w:eastAsia="Times New Roman" w:hAnsi="Times New Roman"/>
          <w:sz w:val="24"/>
          <w:szCs w:val="24"/>
        </w:rPr>
        <w:t xml:space="preserve">The 97.2% completion rate (421 of 433 enrolled) indicates strong platform performance and student compliance. The narrow gap between enrollment and completion across all eight days suggests that technical issues were minimal and that the assessment design was accessible and appropriately timed.</w:t>
      </w:r>
    </w:p>
    <w:p>
      <w:pPr>
        <w:pStyle w:val="Heading1"/>
      </w:pPr>
      <w:r>
        <w:t xml:space="preserve">7. Limitations and Pending Items</w:t>
      </w:r>
    </w:p>
    <w:p>
      <w:pPr>
        <w:pStyle w:val="ListParagraph"/>
        <w:numPr>
          <w:ilvl w:val="0"/>
          <w:numId w:val="3"/>
        </w:numPr>
        <w:spacing w:line="360" w:after="120"/>
      </w:pPr>
      <w:r>
        <w:rPr>
          <w:rFonts w:ascii="Times New Roman" w:cs="Times New Roman" w:eastAsia="Times New Roman" w:hAnsi="Times New Roman"/>
          <w:sz w:val="24"/>
          <w:szCs w:val="24"/>
        </w:rPr>
        <w:t xml:space="preserve">The study employs a single-group pre-post design without a randomized control group, limiting causal attribution of observed learning gains exclusively to QUINN 102 instruction.</w:t>
      </w:r>
    </w:p>
    <w:p>
      <w:pPr>
        <w:pStyle w:val="ListParagraph"/>
        <w:numPr>
          <w:ilvl w:val="0"/>
          <w:numId w:val="3"/>
        </w:numPr>
        <w:spacing w:line="360" w:after="120"/>
      </w:pPr>
      <w:r>
        <w:rPr>
          <w:rFonts w:ascii="Times New Roman" w:cs="Times New Roman" w:eastAsia="Times New Roman" w:hAnsi="Times New Roman"/>
          <w:sz w:val="24"/>
          <w:szCs w:val="24"/>
        </w:rPr>
        <w:t xml:space="preserve">Self-reported demographic and financial context variables may be subject to social desirability bias or measurement error, potentially attenuating estimated relationships in the heterogeneity analysis.</w:t>
      </w:r>
    </w:p>
    <w:p>
      <w:pPr>
        <w:pStyle w:val="ListParagraph"/>
        <w:numPr>
          <w:ilvl w:val="0"/>
          <w:numId w:val="3"/>
        </w:numPr>
        <w:spacing w:line="360" w:after="120"/>
      </w:pPr>
      <w:r>
        <w:rPr>
          <w:rFonts w:ascii="Times New Roman" w:cs="Times New Roman" w:eastAsia="Times New Roman" w:hAnsi="Times New Roman"/>
          <w:sz w:val="24"/>
          <w:szCs w:val="24"/>
        </w:rPr>
        <w:t xml:space="preserve">The assessment captures knowledge at two discrete time points; it does not measure the trajectory of learning during the semester or long-term retention after course completion.</w:t>
      </w:r>
    </w:p>
    <w:p>
      <w:pPr>
        <w:pStyle w:val="ListParagraph"/>
        <w:numPr>
          <w:ilvl w:val="0"/>
          <w:numId w:val="3"/>
        </w:numPr>
        <w:spacing w:line="360" w:after="120"/>
      </w:pPr>
      <w:r>
        <w:rPr>
          <w:rFonts w:ascii="Times New Roman" w:cs="Times New Roman" w:eastAsia="Times New Roman" w:hAnsi="Times New Roman"/>
          <w:sz w:val="24"/>
          <w:szCs w:val="24"/>
        </w:rPr>
        <w:t xml:space="preserve">Test-retest effects may inflate post-course scores if students recall specific items from the pre-course administration, though the 14-week interval between administrations mitigates this concern.</w:t>
      </w:r>
    </w:p>
    <w:p>
      <w:pPr>
        <w:pStyle w:val="ListParagraph"/>
        <w:numPr>
          <w:ilvl w:val="0"/>
          <w:numId w:val="3"/>
        </w:numPr>
        <w:spacing w:line="360" w:after="120"/>
      </w:pPr>
      <w:r>
        <w:rPr>
          <w:rFonts w:ascii="Times New Roman" w:cs="Times New Roman" w:eastAsia="Times New Roman" w:hAnsi="Times New Roman"/>
          <w:sz w:val="24"/>
          <w:szCs w:val="24"/>
        </w:rPr>
        <w:t xml:space="preserve">Psychometric validation (Cronbach’s alpha, factor analysis) is pending and will be reported with the post-course results to enable comparison of instrument properties across administrations.</w:t>
      </w:r>
    </w:p>
    <w:p>
      <w:pPr>
        <w:pStyle w:val="ListParagraph"/>
        <w:numPr>
          <w:ilvl w:val="0"/>
          <w:numId w:val="3"/>
        </w:numPr>
        <w:spacing w:line="360" w:after="120"/>
      </w:pPr>
      <w:r>
        <w:rPr>
          <w:rFonts w:ascii="Times New Roman" w:cs="Times New Roman" w:eastAsia="Times New Roman" w:hAnsi="Times New Roman"/>
          <w:sz w:val="24"/>
          <w:szCs w:val="24"/>
        </w:rPr>
        <w:t xml:space="preserve">The sample is drawn from a single institution and course, limiting generalizability to other student populations and instructional contexts without further replication.</w:t>
      </w:r>
    </w:p>
    <w:p>
      <w:pPr>
        <w:pStyle w:val="ListParagraph"/>
        <w:numPr>
          <w:ilvl w:val="0"/>
          <w:numId w:val="3"/>
        </w:numPr>
        <w:spacing w:line="360" w:after="120"/>
      </w:pPr>
      <w:r>
        <w:rPr>
          <w:rFonts w:ascii="Times New Roman" w:cs="Times New Roman" w:eastAsia="Times New Roman" w:hAnsi="Times New Roman"/>
          <w:sz w:val="24"/>
          <w:szCs w:val="24"/>
        </w:rPr>
        <w:t xml:space="preserve">A software defect in the platform’s handleAnswer() function caused the SDM scored anchors map to become stale when students revised an anchor answer, resulting in 40 mismatched SDM variant assignments across 36 students (9.8%). The mismatched responses were filtered from the open-ended analysis using an anchor_score and confidence cross-check, and the bug was subsequently fixed (commit 039f955). The filtering reduced the open-ended sample from 971 to 931 responses.</w:t>
      </w:r>
    </w:p>
    <w:p>
      <w:pPr>
        <w:pStyle w:val="ListParagraph"/>
        <w:numPr>
          <w:ilvl w:val="0"/>
          <w:numId w:val="3"/>
        </w:numPr>
        <w:spacing w:line="360" w:after="120"/>
      </w:pPr>
      <w:r>
        <w:rPr>
          <w:rFonts w:ascii="Times New Roman" w:cs="Times New Roman" w:eastAsia="Times New Roman" w:hAnsi="Times New Roman"/>
          <w:sz w:val="24"/>
          <w:szCs w:val="24"/>
        </w:rPr>
        <w:t xml:space="preserve">The SDM-10 open-ended sample is not random: items were administered only to students whose anchor responses triggered high-Need subcategories. Per-item coverage ranges from 20% (Q32) to 90% (Q7). Extrapolation to the full class is appropriate only when item-level coverage exceeds 50%.</w:t>
      </w:r>
    </w:p>
    <w:p>
      <w:pPr>
        <w:pStyle w:val="ListParagraph"/>
        <w:numPr>
          <w:ilvl w:val="0"/>
          <w:numId w:val="3"/>
        </w:numPr>
        <w:spacing w:line="360" w:after="120"/>
      </w:pPr>
      <w:r>
        <w:rPr>
          <w:rFonts w:ascii="Times New Roman" w:cs="Times New Roman" w:eastAsia="Times New Roman" w:hAnsi="Times New Roman"/>
          <w:sz w:val="24"/>
          <w:szCs w:val="24"/>
        </w:rPr>
        <w:t xml:space="preserve">Members of the research team hold instructional roles in Quinn 102, creating a potential conflict of interest. The 16.2% decline rate (68 of 421 submitted students declined research consent) provides evidence that students exercised genuine choice. The dual role was mitigated through separated consent, de-identified research dataset, and voluntary research consent with explicit no-penalty language (see Section 4.4.2).</w:t>
      </w:r>
    </w:p>
    <w:p>
      <w:pPr>
        <w:pStyle w:val="ListParagraph"/>
        <w:numPr>
          <w:ilvl w:val="0"/>
          <w:numId w:val="3"/>
        </w:numPr>
        <w:spacing w:line="360" w:after="200"/>
      </w:pPr>
      <w:r>
        <w:rPr>
          <w:rFonts w:ascii="Times New Roman" w:cs="Times New Roman" w:eastAsia="Times New Roman" w:hAnsi="Times New Roman"/>
          <w:sz w:val="24"/>
          <w:szCs w:val="24"/>
        </w:rPr>
        <w:t xml:space="preserve">Analyses using the research-consented subset (n = 353, 83.8% of completers) may not be fully representative of the complete student population if consent propensity correlates with assessment performance, demographics, or engagement. Pre-post comparisons will report whether the consented and declined subsamples differ on observable baseline characteristics.</w:t>
      </w:r>
    </w:p>
    <w:p>
      <w:pPr>
        <w:pStyle w:val="Heading1"/>
      </w:pPr>
      <w:r>
        <w:t xml:space="preserve">8. Next Steps (Post-Course Assessment)</w:t>
      </w:r>
    </w:p>
    <w:p>
      <w:pPr>
        <w:pStyle w:val="ListParagraph"/>
        <w:numPr>
          <w:ilvl w:val="0"/>
          <w:numId w:val="3"/>
        </w:numPr>
        <w:spacing w:line="360" w:after="120"/>
      </w:pPr>
      <w:r>
        <w:rPr>
          <w:rFonts w:ascii="Times New Roman" w:cs="Times New Roman" w:eastAsia="Times New Roman" w:hAnsi="Times New Roman"/>
          <w:sz w:val="24"/>
          <w:szCs w:val="24"/>
        </w:rPr>
        <w:t xml:space="preserve">Administer the post-course assessment during the final week of Spring 2026 instruction using the identical fixed core instrument and SDM-10 adaptive module.</w:t>
      </w:r>
    </w:p>
    <w:p>
      <w:pPr>
        <w:pStyle w:val="ListParagraph"/>
        <w:numPr>
          <w:ilvl w:val="0"/>
          <w:numId w:val="3"/>
        </w:numPr>
        <w:spacing w:line="360" w:after="120"/>
      </w:pPr>
      <w:r>
        <w:rPr>
          <w:rFonts w:ascii="Times New Roman" w:cs="Times New Roman" w:eastAsia="Times New Roman" w:hAnsi="Times New Roman"/>
          <w:sz w:val="24"/>
          <w:szCs w:val="24"/>
        </w:rPr>
        <w:t xml:space="preserve">Link pre-course and post-course responses at the student level using anonymous identifiers to compute within-student gain scores at the overall, domain, and subdomain levels.</w:t>
      </w:r>
    </w:p>
    <w:p>
      <w:pPr>
        <w:pStyle w:val="ListParagraph"/>
        <w:numPr>
          <w:ilvl w:val="0"/>
          <w:numId w:val="3"/>
        </w:numPr>
        <w:spacing w:line="360" w:after="120"/>
      </w:pPr>
      <w:r>
        <w:rPr>
          <w:rFonts w:ascii="Times New Roman" w:cs="Times New Roman" w:eastAsia="Times New Roman" w:hAnsi="Times New Roman"/>
          <w:sz w:val="24"/>
          <w:szCs w:val="24"/>
        </w:rPr>
        <w:t xml:space="preserve">Conduct paired statistical tests (t-tests, Wilcoxon signed-rank) and compute effect sizes (Cohen’s d) to assess the magnitude and significance of learning gains (RQ1).</w:t>
      </w:r>
    </w:p>
    <w:p>
      <w:pPr>
        <w:pStyle w:val="ListParagraph"/>
        <w:numPr>
          <w:ilvl w:val="0"/>
          <w:numId w:val="3"/>
        </w:numPr>
        <w:spacing w:line="360" w:after="120"/>
      </w:pPr>
      <w:r>
        <w:rPr>
          <w:rFonts w:ascii="Times New Roman" w:cs="Times New Roman" w:eastAsia="Times New Roman" w:hAnsi="Times New Roman"/>
          <w:sz w:val="24"/>
          <w:szCs w:val="24"/>
        </w:rPr>
        <w:t xml:space="preserve">Estimate OLS regression models with gain scores as the dependent variable and baseline covariates as predictors to identify sources of heterogeneous learning gains (RQ2).</w:t>
      </w:r>
    </w:p>
    <w:p>
      <w:pPr>
        <w:pStyle w:val="ListParagraph"/>
        <w:numPr>
          <w:ilvl w:val="0"/>
          <w:numId w:val="3"/>
        </w:numPr>
        <w:spacing w:line="360" w:after="120"/>
      </w:pPr>
      <w:r>
        <w:rPr>
          <w:rFonts w:ascii="Times New Roman" w:cs="Times New Roman" w:eastAsia="Times New Roman" w:hAnsi="Times New Roman"/>
          <w:sz w:val="24"/>
          <w:szCs w:val="24"/>
        </w:rPr>
        <w:t xml:space="preserve">Complete psychometric validation (Cronbach’s alpha, point-biserial correlations, confirmatory factor analysis) across both administrations to assess instrument reliability and structural validity.</w:t>
      </w:r>
    </w:p>
    <w:p>
      <w:pPr>
        <w:pStyle w:val="ListParagraph"/>
        <w:numPr>
          <w:ilvl w:val="0"/>
          <w:numId w:val="3"/>
        </w:numPr>
        <w:spacing w:line="360" w:after="200"/>
      </w:pPr>
      <w:r>
        <w:rPr>
          <w:rFonts w:ascii="Times New Roman" w:cs="Times New Roman" w:eastAsia="Times New Roman" w:hAnsi="Times New Roman"/>
          <w:sz w:val="24"/>
          <w:szCs w:val="24"/>
        </w:rPr>
        <w:t xml:space="preserve">Prepare the final report integrating pre-post comparisons, heterogeneity analysis, psychometric results, and actionable recommendations for future QUINN 102 course design.</w:t>
      </w:r>
    </w:p>
    <w:p>
      <w:pPr>
        <w:pStyle w:val="Heading1"/>
      </w:pPr>
      <w:r>
        <w:t xml:space="preserve">References</w:t>
      </w:r>
    </w:p>
    <w:p>
      <w:pPr>
        <w:spacing w:line="360" w:after="200"/>
        <w:jc w:val="left"/>
      </w:pPr>
      <w:r>
        <w:rPr>
          <w:rFonts w:ascii="Times New Roman" w:cs="Times New Roman" w:eastAsia="Times New Roman" w:hAnsi="Times New Roman"/>
          <w:sz w:val="24"/>
          <w:szCs w:val="24"/>
        </w:rPr>
        <w:t xml:space="preserve">Akers, B., &amp; Chingos, M. M. (2014). Are college students borrowing blindly? Brookings Institution.</w:t>
      </w:r>
    </w:p>
    <w:p>
      <w:pPr>
        <w:spacing w:line="360" w:after="200"/>
        <w:jc w:val="left"/>
      </w:pPr>
      <w:r>
        <w:rPr>
          <w:rFonts w:ascii="Times New Roman" w:cs="Times New Roman" w:eastAsia="Times New Roman" w:hAnsi="Times New Roman"/>
          <w:sz w:val="24"/>
          <w:szCs w:val="24"/>
        </w:rPr>
        <w:t xml:space="preserve">Allgood, S., &amp; Walstad, W. B. (2016). The effects of perceived and actual financial literacy on financial behaviors. Economic Inquiry, 54(1), 675–697.</w:t>
      </w:r>
    </w:p>
    <w:p>
      <w:pPr>
        <w:spacing w:line="360" w:after="200"/>
        <w:jc w:val="left"/>
      </w:pPr>
      <w:r>
        <w:rPr>
          <w:rFonts w:ascii="Times New Roman" w:cs="Times New Roman" w:eastAsia="Times New Roman" w:hAnsi="Times New Roman"/>
          <w:sz w:val="24"/>
          <w:szCs w:val="24"/>
        </w:rPr>
        <w:t xml:space="preserve">Boulaid, G. (2026). Financial Literacy Toolkit: Assessment platform for QUINN 102 [Source code]. GitHub. https://github.com/GuillaumeBld/Financial-Literacy-Toolkit</w:t>
      </w:r>
    </w:p>
    <w:p>
      <w:pPr>
        <w:spacing w:line="360" w:after="200"/>
        <w:jc w:val="left"/>
      </w:pPr>
      <w:r>
        <w:rPr>
          <w:rFonts w:ascii="Times New Roman" w:cs="Times New Roman" w:eastAsia="Times New Roman" w:hAnsi="Times New Roman"/>
          <w:sz w:val="24"/>
          <w:szCs w:val="24"/>
        </w:rPr>
        <w:t xml:space="preserve">Chen, H., &amp; Volpe, R. P. (1998). An analysis of personal financial literacy among college students. Financial Services Review, 7(2), 107–128.</w:t>
      </w:r>
    </w:p>
    <w:p>
      <w:pPr>
        <w:spacing w:line="360" w:after="200"/>
        <w:jc w:val="left"/>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Management Science, 60(8), 1861–1883.</w:t>
      </w:r>
    </w:p>
    <w:p>
      <w:pPr>
        <w:spacing w:line="360" w:after="200"/>
        <w:jc w:val="left"/>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British Educational Research Journal, 51(1), 201–224.</w:t>
      </w:r>
    </w:p>
    <w:p>
      <w:pPr>
        <w:spacing w:line="360" w:after="200"/>
        <w:jc w:val="left"/>
      </w:pPr>
      <w:r>
        <w:rPr>
          <w:rFonts w:ascii="Times New Roman" w:cs="Times New Roman" w:eastAsia="Times New Roman" w:hAnsi="Times New Roman"/>
          <w:sz w:val="24"/>
          <w:szCs w:val="24"/>
        </w:rPr>
        <w:t xml:space="preserve">Goyal, K., &amp; Kumar, S. (2021). Financial literacy: A systematic review and bibliometric analysis. International Journal of Consumer Studies, 45(1), 80–105.</w:t>
      </w:r>
    </w:p>
    <w:p>
      <w:pPr>
        <w:spacing w:line="360" w:after="200"/>
        <w:jc w:val="left"/>
      </w:pPr>
      <w:r>
        <w:rPr>
          <w:rFonts w:ascii="Times New Roman" w:cs="Times New Roman" w:eastAsia="Times New Roman" w:hAnsi="Times New Roman"/>
          <w:sz w:val="24"/>
          <w:szCs w:val="24"/>
        </w:rPr>
        <w:t xml:space="preserve">Hastings, J. S., Madrian, B. C., &amp; Skimmyhorn, W. L. (2013). Financial literacy, financial education, and economic outcomes. Annual Review of Economics, 5, 347–373.</w:t>
      </w:r>
    </w:p>
    <w:p>
      <w:pPr>
        <w:spacing w:line="360" w:after="200"/>
        <w:jc w:val="left"/>
      </w:pPr>
      <w:r>
        <w:rPr>
          <w:rFonts w:ascii="Times New Roman" w:cs="Times New Roman" w:eastAsia="Times New Roman" w:hAnsi="Times New Roman"/>
          <w:sz w:val="24"/>
          <w:szCs w:val="24"/>
        </w:rPr>
        <w:t xml:space="preserve">Huston, S. J. (2010). Measuring financial literacy. Journal of Consumer Affairs, 44(2), 296–316.</w:t>
      </w:r>
    </w:p>
    <w:p>
      <w:pPr>
        <w:spacing w:line="360" w:after="200"/>
        <w:jc w:val="left"/>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jc w:val="left"/>
      </w:pPr>
      <w:r>
        <w:rPr>
          <w:rFonts w:ascii="Times New Roman" w:cs="Times New Roman" w:eastAsia="Times New Roman" w:hAnsi="Times New Roman"/>
          <w:sz w:val="24"/>
          <w:szCs w:val="24"/>
        </w:rPr>
        <w:t xml:space="preserve">Kaiser, T., Lusardi, A., Menkhoff, L., &amp; Urban, C. (2022). Financial education affects financial knowledge and downstream behaviors. Journal of Financial Economics, 145(2), 255–272.</w:t>
      </w:r>
    </w:p>
    <w:p>
      <w:pPr>
        <w:spacing w:line="360" w:after="200"/>
        <w:jc w:val="left"/>
      </w:pPr>
      <w:r>
        <w:rPr>
          <w:rFonts w:ascii="Times New Roman" w:cs="Times New Roman" w:eastAsia="Times New Roman" w:hAnsi="Times New Roman"/>
          <w:sz w:val="24"/>
          <w:szCs w:val="24"/>
        </w:rPr>
        <w:t xml:space="preserve">Kramer, M. M. (2016). Financial literacy, confidence and financial advice seeking. Journal of Economic Behavior &amp; Organization, 131(Part A), 198–217.</w:t>
      </w:r>
    </w:p>
    <w:p>
      <w:pPr>
        <w:spacing w:line="360" w:after="200"/>
        <w:jc w:val="left"/>
      </w:pPr>
      <w:r>
        <w:rPr>
          <w:rFonts w:ascii="Times New Roman" w:cs="Times New Roman" w:eastAsia="Times New Roman" w:hAnsi="Times New Roman"/>
          <w:sz w:val="24"/>
          <w:szCs w:val="24"/>
        </w:rPr>
        <w:t xml:space="preserve">Lusardi, A. (2019). Financial literacy and the need for financial education: Evidence and implications. Swiss Journal of Economics and Statistics, 155, Article 1.</w:t>
      </w:r>
    </w:p>
    <w:p>
      <w:pPr>
        <w:spacing w:line="360" w:after="200"/>
        <w:jc w:val="left"/>
      </w:pPr>
      <w:r>
        <w:rPr>
          <w:rFonts w:ascii="Times New Roman" w:cs="Times New Roman" w:eastAsia="Times New Roman" w:hAnsi="Times New Roman"/>
          <w:sz w:val="24"/>
          <w:szCs w:val="24"/>
        </w:rPr>
        <w:t xml:space="preserve">Lusardi, A., &amp; Mitchell, O. S. (2014). The economic importance of financial literacy: Theory and evidence. Journal of Economic Literature, 52(1), 5–44.</w:t>
      </w:r>
    </w:p>
    <w:p>
      <w:pPr>
        <w:spacing w:line="360" w:after="200"/>
        <w:jc w:val="left"/>
      </w:pPr>
      <w:r>
        <w:rPr>
          <w:rFonts w:ascii="Times New Roman" w:cs="Times New Roman" w:eastAsia="Times New Roman" w:hAnsi="Times New Roman"/>
          <w:sz w:val="24"/>
          <w:szCs w:val="24"/>
        </w:rPr>
        <w:t xml:space="preserve">Lusardi, A., &amp; Tufano, P. (2015). Debt literacy, financial experiences, and overindebtedness. Journal of Pension Economics and Finance, 14(4), 332–368.</w:t>
      </w:r>
    </w:p>
    <w:p>
      <w:pPr>
        <w:spacing w:line="360" w:after="200"/>
        <w:jc w:val="left"/>
      </w:pPr>
      <w:r>
        <w:rPr>
          <w:rFonts w:ascii="Times New Roman" w:cs="Times New Roman" w:eastAsia="Times New Roman" w:hAnsi="Times New Roman"/>
          <w:sz w:val="24"/>
          <w:szCs w:val="24"/>
        </w:rPr>
        <w:t xml:space="preserve">Mandell, L., &amp; Klein, L. S. (2009). The impact of financial literacy education on subsequent financial behavior. Journal of Financial Counseling and Planning, 20(1), 15–24.</w:t>
      </w:r>
    </w:p>
    <w:p>
      <w:pPr>
        <w:spacing w:line="360" w:after="200"/>
        <w:jc w:val="left"/>
      </w:pPr>
      <w:r>
        <w:rPr>
          <w:rFonts w:ascii="Times New Roman" w:cs="Times New Roman" w:eastAsia="Times New Roman" w:hAnsi="Times New Roman"/>
          <w:sz w:val="24"/>
          <w:szCs w:val="24"/>
        </w:rPr>
        <w:t xml:space="preserve">National Commission for the Protection of Human Subjects of Biomedical and Behavioral Research. (1979). The Belmont Report: Ethical principles and guidelines for the protection of human subjects of research. U.S. Department of Health and Human Services.</w:t>
      </w:r>
    </w:p>
    <w:p>
      <w:pPr>
        <w:spacing w:line="360" w:after="200"/>
        <w:jc w:val="left"/>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Computers and Education: Artificial Intelligence, 6, 100208.</w:t>
      </w:r>
    </w:p>
    <w:p>
      <w:pPr>
        <w:spacing w:line="360" w:after="200"/>
        <w:jc w:val="left"/>
      </w:pPr>
      <w:r>
        <w:rPr>
          <w:rFonts w:ascii="Times New Roman" w:cs="Times New Roman" w:eastAsia="Times New Roman" w:hAnsi="Times New Roman"/>
          <w:sz w:val="24"/>
          <w:szCs w:val="24"/>
        </w:rPr>
        <w:t xml:space="preserve">OECD. (2022). OECD/INFE toolkit for measuring financial literacy and financial inclusion 2022. OECD Publishing.</w:t>
      </w:r>
    </w:p>
    <w:p>
      <w:pPr>
        <w:spacing w:line="360" w:after="200"/>
        <w:jc w:val="left"/>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Teaching Sociology. Advance online publication. https://doi.org/10.1177/0092055X251397371</w:t>
      </w:r>
    </w:p>
    <w:p>
      <w:pPr>
        <w:spacing w:line="360" w:after="200"/>
        <w:jc w:val="left"/>
      </w:pPr>
      <w:r>
        <w:rPr>
          <w:rFonts w:ascii="Times New Roman" w:cs="Times New Roman" w:eastAsia="Times New Roman" w:hAnsi="Times New Roman"/>
          <w:sz w:val="24"/>
          <w:szCs w:val="24"/>
        </w:rPr>
        <w:t xml:space="preserve">Porto, N., &amp; Xiao, J. J. (2016). Financial literacy overconfidence and financial advice seeking. Journal of Financial Service Professionals, 70(4), 78–88.</w:t>
      </w:r>
    </w:p>
    <w:p>
      <w:pPr>
        <w:spacing w:line="360" w:after="200"/>
        <w:jc w:val="left"/>
      </w:pPr>
      <w:r>
        <w:rPr>
          <w:rFonts w:ascii="Times New Roman" w:cs="Times New Roman" w:eastAsia="Times New Roman" w:hAnsi="Times New Roman"/>
          <w:sz w:val="24"/>
          <w:szCs w:val="24"/>
        </w:rPr>
        <w:t xml:space="preserve">Robb, C. A., &amp; Woodyard, A. (2011). Financial knowledge and best practice behavior. Journal of Financial Counseling and Planning, 22(1), 60–70.</w:t>
      </w:r>
    </w:p>
    <w:p>
      <w:pPr>
        <w:spacing w:line="360" w:after="200"/>
        <w:jc w:val="left"/>
      </w:pPr>
      <w:r>
        <w:rPr>
          <w:rFonts w:ascii="Times New Roman" w:cs="Times New Roman" w:eastAsia="Times New Roman" w:hAnsi="Times New Roman"/>
          <w:sz w:val="24"/>
          <w:szCs w:val="24"/>
        </w:rPr>
        <w:t xml:space="preserve">Stango, V., &amp; Zinman, J. (2009). Exponential growth bias and household finance. Journal of Finance, 64(6), 2807–2849.</w:t>
      </w:r>
    </w:p>
    <w:p>
      <w:pPr>
        <w:spacing w:line="360" w:after="200"/>
        <w:jc w:val="left"/>
      </w:pPr>
      <w:r>
        <w:rPr>
          <w:rFonts w:ascii="Times New Roman" w:cs="Times New Roman" w:eastAsia="Times New Roman" w:hAnsi="Times New Roman"/>
          <w:sz w:val="24"/>
          <w:szCs w:val="24"/>
        </w:rPr>
        <w:t xml:space="preserve">Sweeney, L. (2000). Simple demographics often identify people uniquely (Carnegie Mellon University Data Privacy Working Paper No. 3).</w:t>
      </w:r>
    </w:p>
    <w:p>
      <w:pPr>
        <w:spacing w:line="360" w:after="200"/>
        <w:jc w:val="left"/>
      </w:pPr>
      <w:r>
        <w:rPr>
          <w:rFonts w:ascii="Times New Roman" w:cs="Times New Roman" w:eastAsia="Times New Roman" w:hAnsi="Times New Roman"/>
          <w:sz w:val="24"/>
          <w:szCs w:val="24"/>
        </w:rPr>
        <w:t xml:space="preserve">van Rooij, M., Lusardi, A., &amp; Alessie, R. (2011). Financial literacy and stock market participation. Journal of Financial Economics, 101(2), 449–472.</w:t>
      </w:r>
    </w:p>
    <w:p>
      <w:pPr>
        <w:spacing w:line="360" w:after="200"/>
        <w:jc w:val="left"/>
      </w:pPr>
      <w:r>
        <w:rPr>
          <w:rFonts w:ascii="Times New Roman" w:cs="Times New Roman" w:eastAsia="Times New Roman" w:hAnsi="Times New Roman"/>
          <w:sz w:val="24"/>
          <w:szCs w:val="24"/>
        </w:rPr>
        <w:t xml:space="preserve">Wagner, J., &amp; Walstad, W. B. (2019). The effects of financial education on short-term and long-term financial behaviors. Journal of Consumer Affairs, 53(1), 234–259.</w:t>
      </w:r>
    </w:p>
    <w:p>
      <w:pPr>
        <w:spacing w:line="360" w:after="200"/>
        <w:jc w:val="left"/>
      </w:pPr>
      <w:r>
        <w:rPr>
          <w:rFonts w:ascii="Times New Roman" w:cs="Times New Roman" w:eastAsia="Times New Roman" w:hAnsi="Times New Roman"/>
          <w:sz w:val="24"/>
          <w:szCs w:val="24"/>
        </w:rPr>
        <w:t xml:space="preserve">Willis, L. E. (2011). The financial education fallacy. American Economic Review, 101(3), 429–434.</w:t>
      </w:r>
    </w:p>
    <w:p>
      <w:pPr>
        <w:spacing w:line="360" w:after="200"/>
        <w:jc w:val="left"/>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British Journal of Educational Technology, 56(2), 487–506.</w:t>
      </w:r>
    </w:p>
    <w:p>
      <w:r>
        <w:br w:type="page"/>
      </w:r>
    </w:p>
    <w:p>
      <w:pPr>
        <w:pStyle w:val="Heading1"/>
      </w:pPr>
      <w:r>
        <w:t xml:space="preserve">Declaration of AI and AI-Assisted Technologies</w:t>
      </w:r>
    </w:p>
    <w:p>
      <w:pPr>
        <w:spacing w:line="360" w:after="200"/>
        <w:jc w:val="left"/>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 (COPE, 2023; AMEE Guide No. 192, 2025).</w:t>
      </w:r>
    </w:p>
    <w:p>
      <w:pPr>
        <w:spacing w:line="360" w:after="200"/>
      </w:pPr>
      <w:r>
        <w:rPr>
          <w:rFonts w:ascii="Times New Roman" w:cs="Times New Roman" w:eastAsia="Times New Roman" w:hAnsi="Times New Roman"/>
          <w:b/>
          <w:bCs/>
          <w:sz w:val="24"/>
          <w:szCs w:val="24"/>
        </w:rPr>
        <w:t xml:space="preserve">1. Assessment platform development. </w:t>
      </w:r>
      <w:r>
        <w:rPr>
          <w:rFonts w:ascii="Times New Roman" w:cs="Times New Roman" w:eastAsia="Times New Roman" w:hAnsi="Times New Roman"/>
          <w:sz w:val="24"/>
          <w:szCs w:val="24"/>
        </w:rPr>
        <w:t xml:space="preserve">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(Boulaid, 2026).</w:t>
      </w:r>
    </w:p>
    <w:p>
      <w:pPr>
        <w:spacing w:line="360" w:after="200"/>
      </w:pPr>
      <w:r>
        <w:rPr>
          <w:rFonts w:ascii="Times New Roman" w:cs="Times New Roman" w:eastAsia="Times New Roman" w:hAnsi="Times New Roman"/>
          <w:b/>
          <w:bCs/>
          <w:sz w:val="24"/>
          <w:szCs w:val="24"/>
        </w:rPr>
        <w:t xml:space="preserve">2. Open-ended response scoring. </w:t>
      </w:r>
      <w:r>
        <w:rPr>
          <w:rFonts w:ascii="Times New Roman" w:cs="Times New Roman" w:eastAsia="Times New Roman" w:hAnsi="Times New Roman"/>
          <w:sz w:val="24"/>
          <w:szCs w:val="24"/>
        </w:rPr>
        <w:t xml:space="preserve">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931 student responses. Low-confidence classifications were flagged for human adjudication by the course instructor. This methodological use of LLM-based scoring follows established practices in educational assessment (Mizumoto &amp; Eguchi, 2024; Yavuz, 2025) and is detailed in Section 4.2.3.</w:t>
      </w:r>
    </w:p>
    <w:p>
      <w:pPr>
        <w:spacing w:line="360" w:after="200"/>
      </w:pPr>
      <w:r>
        <w:rPr>
          <w:rFonts w:ascii="Times New Roman" w:cs="Times New Roman" w:eastAsia="Times New Roman" w:hAnsi="Times New Roman"/>
          <w:b/>
          <w:bCs/>
          <w:sz w:val="24"/>
          <w:szCs w:val="24"/>
        </w:rPr>
        <w:t xml:space="preserve">3. Manuscript preparation. </w:t>
      </w:r>
      <w:r>
        <w:rPr>
          <w:rFonts w:ascii="Times New Roman" w:cs="Times New Roman" w:eastAsia="Times New Roman" w:hAnsi="Times New Roman"/>
          <w:sz w:val="24"/>
          <w:szCs w:val="24"/>
        </w:rPr>
        <w:t xml:space="preserve">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pPr>
      <w:r>
        <w:t xml:space="preserve">Appendix A: SDM-10 Selection Algorithm and Burden Controls</w:t>
      </w:r>
    </w:p>
    <w:p>
      <w:pPr>
        <w:spacing w:line="360" w:after="200"/>
        <w:jc w:val="left"/>
      </w:pPr>
      <w:r>
        <w:rPr>
          <w:rFonts w:ascii="Times New Roman" w:cs="Times New Roman" w:eastAsia="Times New Roman" w:hAnsi="Times New Roman"/>
          <w:sz w:val="24"/>
          <w:szCs w:val="24"/>
        </w:rPr>
        <w:t xml:space="preserve">The SDM-10 module uses a deterministic, rule-based selection algorithm to choose 10 diagnostic items for each student. This appendix presents the complete specification of burden controls, scoring, variant assignment, selection phases, and classification rules.</w:t>
      </w:r>
    </w:p>
    <w:p>
      <w:pPr>
        <w:spacing w:before="240" w:after="120"/>
        <w:jc w:val="center"/>
      </w:pPr>
      <w:r>
        <w:rPr>
          <w:rFonts w:ascii="Times New Roman" w:cs="Times New Roman" w:eastAsia="Times New Roman" w:hAnsi="Times New Roman"/>
          <w:b/>
          <w:bCs/>
          <w:i/>
          <w:iCs/>
          <w:sz w:val="22"/>
          <w:szCs w:val="22"/>
        </w:rPr>
        <w:t xml:space="preserve">Table A.1. SDM-10 Burden Control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624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SDM size</w:t>
            </w:r>
          </w:p>
        </w:tc>
        <w:tc>
          <w:tcPr>
            <w:tcW w:type="dxa" w:w="6240"/>
            <w:vAlign w:val="center"/>
          </w:tcPr>
          <w:p>
            <w:pPr>
              <w:jc w:val="center"/>
            </w:pPr>
            <w:r>
              <w:rPr>
                <w:rFonts w:ascii="Times New Roman" w:cs="Times New Roman" w:eastAsia="Times New Roman" w:hAnsi="Times New Roman"/>
                <w:sz w:val="22"/>
                <w:szCs w:val="22"/>
              </w:rPr>
              <w:t xml:space="preserve">Fixed 10 items after 40 anchor questions</w:t>
            </w:r>
          </w:p>
        </w:tc>
      </w:tr>
      <w:tr>
        <w:tc>
          <w:tcPr>
            <w:tcW w:type="dxa" w:w="3120"/>
            <w:vAlign w:val="center"/>
          </w:tcPr>
          <w:p>
            <w:pPr>
              <w:jc w:val="center"/>
            </w:pPr>
            <w:r>
              <w:rPr>
                <w:rFonts w:ascii="Times New Roman" w:cs="Times New Roman" w:eastAsia="Times New Roman" w:hAnsi="Times New Roman"/>
                <w:sz w:val="22"/>
                <w:szCs w:val="22"/>
              </w:rPr>
              <w:t xml:space="preserve">Selection basis</w:t>
            </w:r>
          </w:p>
        </w:tc>
        <w:tc>
          <w:tcPr>
            <w:tcW w:type="dxa" w:w="624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3120"/>
            <w:vAlign w:val="center"/>
          </w:tcPr>
          <w:p>
            <w:pPr>
              <w:jc w:val="center"/>
            </w:pPr>
            <w:r>
              <w:rPr>
                <w:rFonts w:ascii="Times New Roman" w:cs="Times New Roman" w:eastAsia="Times New Roman" w:hAnsi="Times New Roman"/>
                <w:sz w:val="22"/>
                <w:szCs w:val="22"/>
              </w:rPr>
              <w:t xml:space="preserve">Domain balance</w:t>
            </w:r>
          </w:p>
        </w:tc>
        <w:tc>
          <w:tcPr>
            <w:tcW w:type="dxa" w:w="6240"/>
            <w:vAlign w:val="center"/>
          </w:tcPr>
          <w:p>
            <w:pPr>
              <w:jc w:val="center"/>
            </w:pPr>
            <w:r>
              <w:rPr>
                <w:rFonts w:ascii="Times New Roman" w:cs="Times New Roman" w:eastAsia="Times New Roman" w:hAnsi="Times New Roman"/>
                <w:sz w:val="22"/>
                <w:szCs w:val="22"/>
              </w:rPr>
              <w:t xml:space="preserve">At least 2 items per scoring domain</w:t>
            </w:r>
          </w:p>
        </w:tc>
      </w:tr>
      <w:tr>
        <w:tc>
          <w:tcPr>
            <w:tcW w:type="dxa" w:w="3120"/>
            <w:vAlign w:val="center"/>
          </w:tcPr>
          <w:p>
            <w:pPr>
              <w:jc w:val="center"/>
            </w:pPr>
            <w:r>
              <w:rPr>
                <w:rFonts w:ascii="Times New Roman" w:cs="Times New Roman" w:eastAsia="Times New Roman" w:hAnsi="Times New Roman"/>
                <w:sz w:val="22"/>
                <w:szCs w:val="22"/>
              </w:rPr>
              <w:t xml:space="preserve">Subcategory cap</w:t>
            </w:r>
          </w:p>
        </w:tc>
        <w:tc>
          <w:tcPr>
            <w:tcW w:type="dxa" w:w="624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3120"/>
            <w:vAlign w:val="center"/>
          </w:tcPr>
          <w:p>
            <w:pPr>
              <w:jc w:val="center"/>
            </w:pPr>
            <w:r>
              <w:rPr>
                <w:rFonts w:ascii="Times New Roman" w:cs="Times New Roman" w:eastAsia="Times New Roman" w:hAnsi="Times New Roman"/>
                <w:sz w:val="22"/>
                <w:szCs w:val="22"/>
              </w:rPr>
              <w:t xml:space="preserve">Open-ended cap</w:t>
            </w:r>
          </w:p>
        </w:tc>
        <w:tc>
          <w:tcPr>
            <w:tcW w:type="dxa" w:w="624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3120"/>
            <w:vAlign w:val="center"/>
          </w:tcPr>
          <w:p>
            <w:pPr>
              <w:jc w:val="center"/>
            </w:pPr>
            <w:r>
              <w:rPr>
                <w:rFonts w:ascii="Times New Roman" w:cs="Times New Roman" w:eastAsia="Times New Roman" w:hAnsi="Times New Roman"/>
                <w:sz w:val="22"/>
                <w:szCs w:val="22"/>
              </w:rPr>
              <w:t xml:space="preserve">Format fallback</w:t>
            </w:r>
          </w:p>
        </w:tc>
        <w:tc>
          <w:tcPr>
            <w:tcW w:type="dxa" w:w="6240"/>
            <w:vAlign w:val="center"/>
          </w:tcPr>
          <w:p>
            <w:pPr>
              <w:jc w:val="center"/>
            </w:pPr>
            <w:r>
              <w:rPr>
                <w:rFonts w:ascii="Times New Roman" w:cs="Times New Roman" w:eastAsia="Times New Roman" w:hAnsi="Times New Roman"/>
                <w:sz w:val="22"/>
                <w:szCs w:val="22"/>
              </w:rPr>
              <w:t xml:space="preserve">Open_Diagnose → Lower_MCQ; Open_Confirm → Same_MCQ</w:t>
            </w:r>
          </w:p>
        </w:tc>
      </w:tr>
      <w:tr>
        <w:tc>
          <w:tcPr>
            <w:tcW w:type="dxa" w:w="3120"/>
            <w:vAlign w:val="center"/>
          </w:tcPr>
          <w:p>
            <w:pPr>
              <w:jc w:val="center"/>
            </w:pPr>
            <w:r>
              <w:rPr>
                <w:rFonts w:ascii="Times New Roman" w:cs="Times New Roman" w:eastAsia="Times New Roman" w:hAnsi="Times New Roman"/>
                <w:sz w:val="22"/>
                <w:szCs w:val="22"/>
              </w:rPr>
              <w:t xml:space="preserve">Item source</w:t>
            </w:r>
          </w:p>
        </w:tc>
        <w:tc>
          <w:tcPr>
            <w:tcW w:type="dxa" w:w="6240"/>
            <w:vAlign w:val="center"/>
          </w:tcPr>
          <w:p>
            <w:pPr>
              <w:jc w:val="center"/>
            </w:pPr>
            <w:r>
              <w:rPr>
                <w:rFonts w:ascii="Times New Roman" w:cs="Times New Roman" w:eastAsia="Times New Roman" w:hAnsi="Times New Roman"/>
                <w:sz w:val="22"/>
                <w:szCs w:val="22"/>
              </w:rPr>
              <w:t xml:space="preserve">Pre-written 156-variant bank only</w:t>
            </w:r>
          </w:p>
        </w:tc>
      </w:tr>
      <w:tr>
        <w:tc>
          <w:tcPr>
            <w:tcW w:type="dxa" w:w="3120"/>
            <w:vAlign w:val="center"/>
          </w:tcPr>
          <w:p>
            <w:pPr>
              <w:jc w:val="center"/>
            </w:pPr>
            <w:r>
              <w:rPr>
                <w:rFonts w:ascii="Times New Roman" w:cs="Times New Roman" w:eastAsia="Times New Roman" w:hAnsi="Times New Roman"/>
                <w:sz w:val="22"/>
                <w:szCs w:val="22"/>
              </w:rPr>
              <w:t xml:space="preserve">Grading</w:t>
            </w:r>
          </w:p>
        </w:tc>
        <w:tc>
          <w:tcPr>
            <w:tcW w:type="dxa" w:w="6240"/>
            <w:vAlign w:val="center"/>
          </w:tcPr>
          <w:p>
            <w:pPr>
              <w:jc w:val="center"/>
            </w:pPr>
            <w:r>
              <w:rPr>
                <w:rFonts w:ascii="Times New Roman" w:cs="Times New Roman" w:eastAsia="Times New Roman" w:hAnsi="Times New Roman"/>
                <w:sz w:val="22"/>
                <w:szCs w:val="22"/>
              </w:rPr>
              <w:t xml:space="preserve">Diagnostic only (Model C); grade from 40 anchors only</w:t>
            </w:r>
          </w:p>
        </w:tc>
      </w:tr>
    </w:tbl>
    <w:p>
      <w:pPr>
        <w:spacing w:before="240" w:after="120"/>
        <w:jc w:val="center"/>
      </w:pPr>
      <w:r>
        <w:rPr>
          <w:rFonts w:ascii="Times New Roman" w:cs="Times New Roman" w:eastAsia="Times New Roman" w:hAnsi="Times New Roman"/>
          <w:b/>
          <w:bCs/>
          <w:i/>
          <w:iCs/>
          <w:sz w:val="22"/>
          <w:szCs w:val="22"/>
        </w:rPr>
        <w:t xml:space="preserve">Table A.2.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jc w:val="left"/>
      </w:pPr>
      <w:r>
        <w:rPr>
          <w:rFonts w:ascii="Times New Roman" w:cs="Times New Roman" w:eastAsia="Times New Roman" w:hAnsi="Times New Roman"/>
          <w:sz w:val="24"/>
          <w:szCs w:val="24"/>
        </w:rPr>
        <w:t xml:space="preserve">The format-aware adjustment reflects differential guessing probability: True/False items have a 50% chance-level baseline versus approximately 25% for MCQ, so correct T/F responses at moderate confidence receive higher Need scores than equivalent MCQ responses.</w:t>
      </w:r>
    </w:p>
    <w:p>
      <w:pPr>
        <w:spacing w:before="240" w:after="120"/>
        <w:jc w:val="center"/>
      </w:pPr>
      <w:r>
        <w:rPr>
          <w:rFonts w:ascii="Times New Roman" w:cs="Times New Roman" w:eastAsia="Times New Roman" w:hAnsi="Times New Roman"/>
          <w:b/>
          <w:bCs/>
          <w:i/>
          <w:iCs/>
          <w:sz w:val="22"/>
          <w:szCs w:val="22"/>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before="240" w:after="120"/>
        <w:jc w:val="center"/>
      </w:pPr>
      <w:r>
        <w:rPr>
          <w:rFonts w:ascii="Times New Roman" w:cs="Times New Roman" w:eastAsia="Times New Roman" w:hAnsi="Times New Roman"/>
          <w:b/>
          <w:bCs/>
          <w:i/>
          <w:iCs/>
          <w:sz w:val="22"/>
          <w:szCs w:val="22"/>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468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2340"/>
            <w:vAlign w:val="center"/>
          </w:tcPr>
          <w:p>
            <w:pPr>
              <w:jc w:val="center"/>
            </w:pPr>
            <w:r>
              <w:rPr>
                <w:rFonts w:ascii="Times New Roman" w:cs="Times New Roman" w:eastAsia="Times New Roman" w:hAnsi="Times New Roman"/>
                <w:sz w:val="22"/>
                <w:szCs w:val="22"/>
              </w:rPr>
              <w:t xml:space="preserve">1: Domain minimums</w:t>
            </w:r>
          </w:p>
        </w:tc>
        <w:tc>
          <w:tcPr>
            <w:tcW w:type="dxa" w:w="2340"/>
            <w:vAlign w:val="center"/>
          </w:tcPr>
          <w:p>
            <w:pPr>
              <w:jc w:val="center"/>
            </w:pPr>
            <w:r>
              <w:rPr>
                <w:rFonts w:ascii="Times New Roman" w:cs="Times New Roman" w:eastAsia="Times New Roman" w:hAnsi="Times New Roman"/>
                <w:sz w:val="22"/>
                <w:szCs w:val="22"/>
              </w:rPr>
              <w:t xml:space="preserve">Ensure coverage</w:t>
            </w:r>
          </w:p>
        </w:tc>
        <w:tc>
          <w:tcPr>
            <w:tcW w:type="dxa" w:w="4680"/>
            <w:vAlign w:val="center"/>
          </w:tcPr>
          <w:p>
            <w:pPr>
              <w:jc w:val="center"/>
            </w:pPr>
            <w:r>
              <w:rPr>
                <w:rFonts w:ascii="Times New Roman" w:cs="Times New Roman" w:eastAsia="Times New Roman" w:hAnsi="Times New Roman"/>
                <w:sz w:val="22"/>
                <w:szCs w:val="22"/>
              </w:rPr>
              <w:t xml:space="preserve">Top-Need item from each domain until each has ≥ 2</w:t>
            </w:r>
          </w:p>
        </w:tc>
      </w:tr>
      <w:tr>
        <w:tc>
          <w:tcPr>
            <w:tcW w:type="dxa" w:w="2340"/>
            <w:vAlign w:val="center"/>
          </w:tcPr>
          <w:p>
            <w:pPr>
              <w:jc w:val="center"/>
            </w:pPr>
            <w:r>
              <w:rPr>
                <w:rFonts w:ascii="Times New Roman" w:cs="Times New Roman" w:eastAsia="Times New Roman" w:hAnsi="Times New Roman"/>
                <w:sz w:val="22"/>
                <w:szCs w:val="22"/>
              </w:rPr>
              <w:t xml:space="preserve">2: Need-based filling</w:t>
            </w:r>
          </w:p>
        </w:tc>
        <w:tc>
          <w:tcPr>
            <w:tcW w:type="dxa" w:w="2340"/>
            <w:vAlign w:val="center"/>
          </w:tcPr>
          <w:p>
            <w:pPr>
              <w:jc w:val="center"/>
            </w:pPr>
            <w:r>
              <w:rPr>
                <w:rFonts w:ascii="Times New Roman" w:cs="Times New Roman" w:eastAsia="Times New Roman" w:hAnsi="Times New Roman"/>
                <w:sz w:val="22"/>
                <w:szCs w:val="22"/>
              </w:rPr>
              <w:t xml:space="preserve">Maximize diagnostic value</w:t>
            </w:r>
          </w:p>
        </w:tc>
        <w:tc>
          <w:tcPr>
            <w:tcW w:type="dxa" w:w="4680"/>
            <w:vAlign w:val="center"/>
          </w:tcPr>
          <w:p>
            <w:pPr>
              <w:jc w:val="center"/>
            </w:pPr>
            <w:r>
              <w:rPr>
                <w:rFonts w:ascii="Times New Roman" w:cs="Times New Roman" w:eastAsia="Times New Roman" w:hAnsi="Times New Roman"/>
                <w:sz w:val="22"/>
                <w:szCs w:val="22"/>
              </w:rPr>
              <w:t xml:space="preserve">Fill remaining slots in descending Need order</w:t>
            </w:r>
          </w:p>
        </w:tc>
      </w:tr>
      <w:tr>
        <w:tc>
          <w:tcPr>
            <w:tcW w:type="dxa" w:w="2340"/>
            <w:vAlign w:val="center"/>
          </w:tcPr>
          <w:p>
            <w:pPr>
              <w:jc w:val="center"/>
            </w:pPr>
            <w:r>
              <w:rPr>
                <w:rFonts w:ascii="Times New Roman" w:cs="Times New Roman" w:eastAsia="Times New Roman" w:hAnsi="Times New Roman"/>
                <w:sz w:val="22"/>
                <w:szCs w:val="22"/>
              </w:rPr>
              <w:t xml:space="preserve">3: Mastery fallback</w:t>
            </w:r>
          </w:p>
        </w:tc>
        <w:tc>
          <w:tcPr>
            <w:tcW w:type="dxa" w:w="2340"/>
            <w:vAlign w:val="center"/>
          </w:tcPr>
          <w:p>
            <w:pPr>
              <w:jc w:val="center"/>
            </w:pPr>
            <w:r>
              <w:rPr>
                <w:rFonts w:ascii="Times New Roman" w:cs="Times New Roman" w:eastAsia="Times New Roman" w:hAnsi="Times New Roman"/>
                <w:sz w:val="22"/>
                <w:szCs w:val="22"/>
              </w:rPr>
              <w:t xml:space="preserve">Avoid empty slots</w:t>
            </w:r>
          </w:p>
        </w:tc>
        <w:tc>
          <w:tcPr>
            <w:tcW w:type="dxa" w:w="4680"/>
            <w:vAlign w:val="center"/>
          </w:tcPr>
          <w:p>
            <w:pPr>
              <w:jc w:val="center"/>
            </w:pPr>
            <w:r>
              <w:rPr>
                <w:rFonts w:ascii="Times New Roman" w:cs="Times New Roman" w:eastAsia="Times New Roman" w:hAnsi="Times New Roman"/>
                <w:sz w:val="22"/>
                <w:szCs w:val="22"/>
              </w:rPr>
              <w:t xml:space="preserve">Add mastery items from strongest subcategories</w:t>
            </w:r>
          </w:p>
        </w:tc>
      </w:tr>
    </w:tbl>
    <w:p>
      <w:pPr>
        <w:spacing w:before="240" w:after="120"/>
        <w:jc w:val="center"/>
      </w:pPr>
      <w:r>
        <w:rPr>
          <w:rFonts w:ascii="Times New Roman" w:cs="Times New Roman" w:eastAsia="Times New Roman" w:hAnsi="Times New Roman"/>
          <w:b/>
          <w:bCs/>
          <w:i/>
          <w:iCs/>
          <w:sz w:val="22"/>
          <w:szCs w:val="22"/>
        </w:rPr>
        <w:t xml:space="preserve">Table A.5. Tiebreaker Hierarchy (Equal Need Scores)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3120"/>
        <w:gridCol w:w="468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4680"/>
            <w:vAlign w:val="center"/>
          </w:tcPr>
          <w:p>
            <w:pPr>
              <w:jc w:val="center"/>
            </w:pPr>
            <w:r>
              <w:rPr>
                <w:rFonts w:ascii="Times New Roman" w:cs="Times New Roman" w:eastAsia="Times New Roman" w:hAnsi="Times New Roman"/>
                <w:sz w:val="22"/>
                <w:szCs w:val="22"/>
              </w:rPr>
              <w:t xml:space="preserve">Favor domain with fewer items selected</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4680"/>
            <w:vAlign w:val="center"/>
          </w:tcPr>
          <w:p>
            <w:pPr>
              <w:jc w:val="center"/>
            </w:pPr>
            <w:r>
              <w:rPr>
                <w:rFonts w:ascii="Times New Roman" w:cs="Times New Roman" w:eastAsia="Times New Roman" w:hAnsi="Times New Roman"/>
                <w:sz w:val="22"/>
                <w:szCs w:val="22"/>
              </w:rPr>
              <w:t xml:space="preserve">T/F prioritized over MCQ (reduces guessing)</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468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4680"/>
            <w:vAlign w:val="center"/>
          </w:tcPr>
          <w:p>
            <w:pPr>
              <w:jc w:val="center"/>
            </w:pPr>
            <w:r>
              <w:rPr>
                <w:rFonts w:ascii="Times New Roman" w:cs="Times New Roman" w:eastAsia="Times New Roman" w:hAnsi="Times New Roman"/>
                <w:sz w:val="22"/>
                <w:szCs w:val="22"/>
              </w:rPr>
              <w:t xml:space="preserve">Borrowing → Investment → Risk Mgmt</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4680"/>
            <w:vAlign w:val="center"/>
          </w:tcPr>
          <w:p>
            <w:pPr>
              <w:jc w:val="center"/>
            </w:pPr>
            <w:r>
              <w:rPr>
                <w:rFonts w:ascii="Times New Roman" w:cs="Times New Roman" w:eastAsia="Times New Roman" w:hAnsi="Times New Roman"/>
                <w:sz w:val="22"/>
                <w:szCs w:val="22"/>
              </w:rPr>
              <w:t xml:space="preserve">Deterministic using student hash</w:t>
            </w:r>
          </w:p>
        </w:tc>
      </w:tr>
    </w:tbl>
    <w:p>
      <w:pPr>
        <w:spacing w:before="240" w:after="120"/>
        <w:jc w:val="center"/>
      </w:pPr>
      <w:r>
        <w:rPr>
          <w:rFonts w:ascii="Times New Roman" w:cs="Times New Roman" w:eastAsia="Times New Roman" w:hAnsi="Times New Roman"/>
          <w:b/>
          <w:bCs/>
          <w:i/>
          <w:iCs/>
          <w:sz w:val="22"/>
          <w:szCs w:val="22"/>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4680"/>
        <w:gridCol w:w="312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4680"/>
            <w:vAlign w:val="center"/>
          </w:tcPr>
          <w:p>
            <w:pPr>
              <w:jc w:val="center"/>
            </w:pPr>
            <w:r>
              <w:rPr>
                <w:rFonts w:ascii="Times New Roman" w:cs="Times New Roman" w:eastAsia="Times New Roman" w:hAnsi="Times New Roman"/>
                <w:sz w:val="22"/>
                <w:szCs w:val="22"/>
              </w:rPr>
              <w:t xml:space="preserve">Blank, IDK, or too short?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4680"/>
            <w:vAlign w:val="center"/>
          </w:tcPr>
          <w:p>
            <w:pPr>
              <w:jc w:val="center"/>
            </w:pPr>
            <w:r>
              <w:rPr>
                <w:rFonts w:ascii="Times New Roman" w:cs="Times New Roman" w:eastAsia="Times New Roman" w:hAnsi="Times New Roman"/>
                <w:sz w:val="22"/>
                <w:szCs w:val="22"/>
              </w:rPr>
              <w:t xml:space="preserve">Correct reasoning despite wrong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4680"/>
            <w:vAlign w:val="center"/>
          </w:tcPr>
          <w:p>
            <w:pPr>
              <w:jc w:val="center"/>
            </w:pPr>
            <w:r>
              <w:rPr>
                <w:rFonts w:ascii="Times New Roman" w:cs="Times New Roman" w:eastAsia="Times New Roman" w:hAnsi="Times New Roman"/>
                <w:sz w:val="22"/>
                <w:szCs w:val="22"/>
              </w:rPr>
              <w:t xml:space="preserve">Student self-corrects?</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4680"/>
            <w:vAlign w:val="center"/>
          </w:tcPr>
          <w:p>
            <w:pPr>
              <w:jc w:val="center"/>
            </w:pPr>
            <w:r>
              <w:rPr>
                <w:rFonts w:ascii="Times New Roman" w:cs="Times New Roman" w:eastAsia="Times New Roman" w:hAnsi="Times New Roman"/>
                <w:sz w:val="22"/>
                <w:szCs w:val="22"/>
              </w:rPr>
              <w:t xml:space="preserve">Specific wrong mental model?</w:t>
            </w:r>
          </w:p>
        </w:tc>
        <w:tc>
          <w:tcPr>
            <w:tcW w:type="dxa" w:w="3120"/>
            <w:vAlign w:val="center"/>
          </w:tcPr>
          <w:p>
            <w:pPr>
              <w:jc w:val="center"/>
            </w:pPr>
            <w:r>
              <w:rPr>
                <w:rFonts w:ascii="Times New Roman" w:cs="Times New Roman" w:eastAsia="Times New Roman" w:hAnsi="Times New Roman"/>
                <w:sz w:val="22"/>
                <w:szCs w:val="22"/>
              </w:rPr>
              <w:t xml:space="preserve">Misconception (Layer 1 + 2)</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4680"/>
            <w:vAlign w:val="center"/>
          </w:tcPr>
          <w:p>
            <w:pPr>
              <w:jc w:val="center"/>
            </w:pPr>
            <w:r>
              <w:rPr>
                <w:rFonts w:ascii="Times New Roman" w:cs="Times New Roman" w:eastAsia="Times New Roman" w:hAnsi="Times New Roman"/>
                <w:sz w:val="22"/>
                <w:szCs w:val="22"/>
              </w:rPr>
              <w:t xml:space="preserve">Vague,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r>
        <w:br w:type="page"/>
      </w:r>
    </w:p>
    <w:p>
      <w:pPr>
        <w:pStyle w:val="Heading1"/>
      </w:pPr>
      <w:r>
        <w:t xml:space="preserve">Appendix B: Assessment Items</w:t>
      </w:r>
    </w:p>
    <w:p>
      <w:pPr>
        <w:spacing w:line="360" w:after="200"/>
        <w:jc w:val="left"/>
      </w:pPr>
      <w:r>
        <w:rPr>
          <w:rFonts w:ascii="Times New Roman" w:cs="Times New Roman" w:eastAsia="Times New Roman" w:hAnsi="Times New Roman"/>
          <w:sz w:val="24"/>
          <w:szCs w:val="24"/>
        </w:rPr>
        <w:t xml:space="preserve">See attached question bank for complete item listing with answer keys.</w:t>
      </w:r>
    </w:p>
    <w:p>
      <w:r>
        <w:br w:type="page"/>
      </w:r>
    </w:p>
    <w:p>
      <w:pPr>
        <w:pStyle w:val="Heading1"/>
      </w:pPr>
      <w:r>
        <w:t xml:space="preserve">Appendix C: Financial Literacy Misconception Taxonomy (Layer 1)</w:t>
      </w:r>
    </w:p>
    <w:p>
      <w:pPr>
        <w:spacing w:line="360" w:after="200"/>
        <w:jc w:val="left"/>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pPr>
      <w:r>
        <w:t xml:space="preserve">C.1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INF-01</w:t>
            </w:r>
          </w:p>
        </w:tc>
        <w:tc>
          <w:tcPr>
            <w:tcW w:type="dxa" w:w="546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Q6 (55%)</w:t>
            </w:r>
          </w:p>
        </w:tc>
      </w:tr>
      <w:tr>
        <w:tc>
          <w:tcPr>
            <w:tcW w:type="dxa" w:w="1560"/>
            <w:vAlign w:val="center"/>
          </w:tcPr>
          <w:p>
            <w:pPr>
              <w:jc w:val="center"/>
            </w:pPr>
            <w:r>
              <w:rPr>
                <w:rFonts w:ascii="Times New Roman" w:cs="Times New Roman" w:eastAsia="Times New Roman" w:hAnsi="Times New Roman"/>
                <w:sz w:val="22"/>
                <w:szCs w:val="22"/>
              </w:rPr>
              <w:t xml:space="preserve">INF-02</w:t>
            </w:r>
          </w:p>
        </w:tc>
        <w:tc>
          <w:tcPr>
            <w:tcW w:type="dxa" w:w="546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Q3</w:t>
            </w:r>
          </w:p>
        </w:tc>
      </w:tr>
      <w:tr>
        <w:tc>
          <w:tcPr>
            <w:tcW w:type="dxa" w:w="1560"/>
            <w:vAlign w:val="center"/>
          </w:tcPr>
          <w:p>
            <w:pPr>
              <w:jc w:val="center"/>
            </w:pPr>
            <w:r>
              <w:rPr>
                <w:rFonts w:ascii="Times New Roman" w:cs="Times New Roman" w:eastAsia="Times New Roman" w:hAnsi="Times New Roman"/>
                <w:sz w:val="22"/>
                <w:szCs w:val="22"/>
              </w:rPr>
              <w:t xml:space="preserve">INF-03</w:t>
            </w:r>
          </w:p>
        </w:tc>
        <w:tc>
          <w:tcPr>
            <w:tcW w:type="dxa" w:w="546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Q7</w:t>
            </w:r>
          </w:p>
        </w:tc>
      </w:tr>
      <w:tr>
        <w:tc>
          <w:tcPr>
            <w:tcW w:type="dxa" w:w="1560"/>
            <w:vAlign w:val="center"/>
          </w:tcPr>
          <w:p>
            <w:pPr>
              <w:jc w:val="center"/>
            </w:pPr>
            <w:r>
              <w:rPr>
                <w:rFonts w:ascii="Times New Roman" w:cs="Times New Roman" w:eastAsia="Times New Roman" w:hAnsi="Times New Roman"/>
                <w:sz w:val="22"/>
                <w:szCs w:val="22"/>
              </w:rPr>
              <w:t xml:space="preserve">INF-04</w:t>
            </w:r>
          </w:p>
        </w:tc>
        <w:tc>
          <w:tcPr>
            <w:tcW w:type="dxa" w:w="546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Q38</w:t>
            </w:r>
          </w:p>
        </w:tc>
      </w:tr>
      <w:tr>
        <w:tc>
          <w:tcPr>
            <w:tcW w:type="dxa" w:w="1560"/>
            <w:vAlign w:val="center"/>
          </w:tcPr>
          <w:p>
            <w:pPr>
              <w:jc w:val="center"/>
            </w:pPr>
            <w:r>
              <w:rPr>
                <w:rFonts w:ascii="Times New Roman" w:cs="Times New Roman" w:eastAsia="Times New Roman" w:hAnsi="Times New Roman"/>
                <w:sz w:val="22"/>
                <w:szCs w:val="22"/>
              </w:rPr>
              <w:t xml:space="preserve">INF-05</w:t>
            </w:r>
          </w:p>
        </w:tc>
        <w:tc>
          <w:tcPr>
            <w:tcW w:type="dxa" w:w="546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Q7 (33%)</w:t>
            </w:r>
          </w:p>
        </w:tc>
      </w:tr>
    </w:tbl>
    <w:p>
      <w:pPr>
        <w:pStyle w:val="Heading2"/>
      </w:pPr>
      <w:r>
        <w:t xml:space="preserve">C.2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INT-01</w:t>
            </w:r>
          </w:p>
        </w:tc>
        <w:tc>
          <w:tcPr>
            <w:tcW w:type="dxa" w:w="546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INT-02</w:t>
            </w:r>
          </w:p>
        </w:tc>
        <w:tc>
          <w:tcPr>
            <w:tcW w:type="dxa" w:w="546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INT-03</w:t>
            </w:r>
          </w:p>
        </w:tc>
        <w:tc>
          <w:tcPr>
            <w:tcW w:type="dxa" w:w="546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INT-04</w:t>
            </w:r>
          </w:p>
        </w:tc>
        <w:tc>
          <w:tcPr>
            <w:tcW w:type="dxa" w:w="546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INT-05</w:t>
            </w:r>
          </w:p>
        </w:tc>
        <w:tc>
          <w:tcPr>
            <w:tcW w:type="dxa" w:w="546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Q8</w:t>
            </w:r>
          </w:p>
        </w:tc>
      </w:tr>
      <w:tr>
        <w:tc>
          <w:tcPr>
            <w:tcW w:type="dxa" w:w="1560"/>
            <w:vAlign w:val="center"/>
          </w:tcPr>
          <w:p>
            <w:pPr>
              <w:jc w:val="center"/>
            </w:pPr>
            <w:r>
              <w:rPr>
                <w:rFonts w:ascii="Times New Roman" w:cs="Times New Roman" w:eastAsia="Times New Roman" w:hAnsi="Times New Roman"/>
                <w:sz w:val="22"/>
                <w:szCs w:val="22"/>
              </w:rPr>
              <w:t xml:space="preserve">INT-06</w:t>
            </w:r>
          </w:p>
        </w:tc>
        <w:tc>
          <w:tcPr>
            <w:tcW w:type="dxa" w:w="5460"/>
            <w:vAlign w:val="center"/>
          </w:tcPr>
          <w:p>
            <w:pPr>
              <w:jc w:val="center"/>
            </w:pPr>
            <w:r>
              <w:rPr>
                <w:rFonts w:ascii="Times New Roman" w:cs="Times New Roman" w:eastAsia="Times New Roman" w:hAnsi="Times New Roman"/>
                <w:sz w:val="22"/>
                <w:szCs w:val="22"/>
              </w:rPr>
              <w:t xml:space="preserve">Bond price-rate relationship reversed</w:t>
            </w:r>
          </w:p>
        </w:tc>
        <w:tc>
          <w:tcPr>
            <w:tcW w:type="dxa" w:w="2340"/>
            <w:vAlign w:val="center"/>
          </w:tcPr>
          <w:p>
            <w:pPr>
              <w:jc w:val="center"/>
            </w:pPr>
            <w:r>
              <w:rPr>
                <w:rFonts w:ascii="Times New Roman" w:cs="Times New Roman" w:eastAsia="Times New Roman" w:hAnsi="Times New Roman"/>
                <w:sz w:val="22"/>
                <w:szCs w:val="22"/>
              </w:rPr>
              <w:t xml:space="preserve">Q29</w:t>
            </w:r>
          </w:p>
        </w:tc>
      </w:tr>
      <w:tr>
        <w:tc>
          <w:tcPr>
            <w:tcW w:type="dxa" w:w="1560"/>
            <w:vAlign w:val="center"/>
          </w:tcPr>
          <w:p>
            <w:pPr>
              <w:jc w:val="center"/>
            </w:pPr>
            <w:r>
              <w:rPr>
                <w:rFonts w:ascii="Times New Roman" w:cs="Times New Roman" w:eastAsia="Times New Roman" w:hAnsi="Times New Roman"/>
                <w:sz w:val="22"/>
                <w:szCs w:val="22"/>
              </w:rPr>
              <w:t xml:space="preserve">INT-07</w:t>
            </w:r>
          </w:p>
        </w:tc>
        <w:tc>
          <w:tcPr>
            <w:tcW w:type="dxa" w:w="546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Q4 (small n)</w:t>
            </w:r>
          </w:p>
        </w:tc>
      </w:tr>
    </w:tbl>
    <w:p>
      <w:pPr>
        <w:pStyle w:val="Heading2"/>
      </w:pPr>
      <w:r>
        <w:t xml:space="preserve">C.3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RISK-01</w:t>
            </w:r>
          </w:p>
        </w:tc>
        <w:tc>
          <w:tcPr>
            <w:tcW w:type="dxa" w:w="546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RISK-02</w:t>
            </w:r>
          </w:p>
        </w:tc>
        <w:tc>
          <w:tcPr>
            <w:tcW w:type="dxa" w:w="546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Q30, Q35</w:t>
            </w:r>
          </w:p>
        </w:tc>
      </w:tr>
      <w:tr>
        <w:tc>
          <w:tcPr>
            <w:tcW w:type="dxa" w:w="1560"/>
            <w:vAlign w:val="center"/>
          </w:tcPr>
          <w:p>
            <w:pPr>
              <w:jc w:val="center"/>
            </w:pPr>
            <w:r>
              <w:rPr>
                <w:rFonts w:ascii="Times New Roman" w:cs="Times New Roman" w:eastAsia="Times New Roman" w:hAnsi="Times New Roman"/>
                <w:sz w:val="22"/>
                <w:szCs w:val="22"/>
              </w:rPr>
              <w:t xml:space="preserve">RISK-03</w:t>
            </w:r>
          </w:p>
        </w:tc>
        <w:tc>
          <w:tcPr>
            <w:tcW w:type="dxa" w:w="546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Q14, Q34</w:t>
            </w:r>
          </w:p>
        </w:tc>
      </w:tr>
      <w:tr>
        <w:tc>
          <w:tcPr>
            <w:tcW w:type="dxa" w:w="1560"/>
            <w:vAlign w:val="center"/>
          </w:tcPr>
          <w:p>
            <w:pPr>
              <w:jc w:val="center"/>
            </w:pPr>
            <w:r>
              <w:rPr>
                <w:rFonts w:ascii="Times New Roman" w:cs="Times New Roman" w:eastAsia="Times New Roman" w:hAnsi="Times New Roman"/>
                <w:sz w:val="22"/>
                <w:szCs w:val="22"/>
              </w:rPr>
              <w:t xml:space="preserve">RISK-04</w:t>
            </w:r>
          </w:p>
        </w:tc>
        <w:tc>
          <w:tcPr>
            <w:tcW w:type="dxa" w:w="546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Q36 (62%)</w:t>
            </w:r>
          </w:p>
        </w:tc>
      </w:tr>
      <w:tr>
        <w:tc>
          <w:tcPr>
            <w:tcW w:type="dxa" w:w="1560"/>
            <w:vAlign w:val="center"/>
          </w:tcPr>
          <w:p>
            <w:pPr>
              <w:jc w:val="center"/>
            </w:pPr>
            <w:r>
              <w:rPr>
                <w:rFonts w:ascii="Times New Roman" w:cs="Times New Roman" w:eastAsia="Times New Roman" w:hAnsi="Times New Roman"/>
                <w:sz w:val="22"/>
                <w:szCs w:val="22"/>
              </w:rPr>
              <w:t xml:space="preserve">RISK-05</w:t>
            </w:r>
          </w:p>
        </w:tc>
        <w:tc>
          <w:tcPr>
            <w:tcW w:type="dxa" w:w="546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Q11</w:t>
            </w:r>
          </w:p>
        </w:tc>
      </w:tr>
      <w:tr>
        <w:tc>
          <w:tcPr>
            <w:tcW w:type="dxa" w:w="1560"/>
            <w:vAlign w:val="center"/>
          </w:tcPr>
          <w:p>
            <w:pPr>
              <w:jc w:val="center"/>
            </w:pPr>
            <w:r>
              <w:rPr>
                <w:rFonts w:ascii="Times New Roman" w:cs="Times New Roman" w:eastAsia="Times New Roman" w:hAnsi="Times New Roman"/>
                <w:sz w:val="22"/>
                <w:szCs w:val="22"/>
              </w:rPr>
              <w:t xml:space="preserve">RISK-06</w:t>
            </w:r>
          </w:p>
        </w:tc>
        <w:tc>
          <w:tcPr>
            <w:tcW w:type="dxa" w:w="546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Q11 (KG)</w:t>
            </w:r>
          </w:p>
        </w:tc>
      </w:tr>
      <w:tr>
        <w:tc>
          <w:tcPr>
            <w:tcW w:type="dxa" w:w="1560"/>
            <w:vAlign w:val="center"/>
          </w:tcPr>
          <w:p>
            <w:pPr>
              <w:jc w:val="center"/>
            </w:pPr>
            <w:r>
              <w:rPr>
                <w:rFonts w:ascii="Times New Roman" w:cs="Times New Roman" w:eastAsia="Times New Roman" w:hAnsi="Times New Roman"/>
                <w:sz w:val="22"/>
                <w:szCs w:val="22"/>
              </w:rPr>
              <w:t xml:space="preserve">RISK-07</w:t>
            </w:r>
          </w:p>
        </w:tc>
        <w:tc>
          <w:tcPr>
            <w:tcW w:type="dxa" w:w="546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Q31</w:t>
            </w:r>
          </w:p>
        </w:tc>
      </w:tr>
      <w:tr>
        <w:tc>
          <w:tcPr>
            <w:tcW w:type="dxa" w:w="1560"/>
            <w:vAlign w:val="center"/>
          </w:tcPr>
          <w:p>
            <w:pPr>
              <w:jc w:val="center"/>
            </w:pPr>
            <w:r>
              <w:rPr>
                <w:rFonts w:ascii="Times New Roman" w:cs="Times New Roman" w:eastAsia="Times New Roman" w:hAnsi="Times New Roman"/>
                <w:sz w:val="22"/>
                <w:szCs w:val="22"/>
              </w:rPr>
              <w:t xml:space="preserve">RISK-08</w:t>
            </w:r>
          </w:p>
        </w:tc>
        <w:tc>
          <w:tcPr>
            <w:tcW w:type="dxa" w:w="546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Q39</w:t>
            </w:r>
          </w:p>
        </w:tc>
      </w:tr>
      <w:tr>
        <w:tc>
          <w:tcPr>
            <w:tcW w:type="dxa" w:w="1560"/>
            <w:vAlign w:val="center"/>
          </w:tcPr>
          <w:p>
            <w:pPr>
              <w:jc w:val="center"/>
            </w:pPr>
            <w:r>
              <w:rPr>
                <w:rFonts w:ascii="Times New Roman" w:cs="Times New Roman" w:eastAsia="Times New Roman" w:hAnsi="Times New Roman"/>
                <w:sz w:val="22"/>
                <w:szCs w:val="22"/>
              </w:rPr>
              <w:t xml:space="preserve">RISK-09</w:t>
            </w:r>
          </w:p>
        </w:tc>
        <w:tc>
          <w:tcPr>
            <w:tcW w:type="dxa" w:w="546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RISK-10</w:t>
            </w:r>
          </w:p>
        </w:tc>
        <w:tc>
          <w:tcPr>
            <w:tcW w:type="dxa" w:w="546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Q35</w:t>
            </w:r>
          </w:p>
        </w:tc>
      </w:tr>
    </w:tbl>
    <w:p>
      <w:pPr>
        <w:pStyle w:val="Heading2"/>
      </w:pPr>
      <w:r>
        <w:t xml:space="preserve">C.4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INS-01</w:t>
            </w:r>
          </w:p>
        </w:tc>
        <w:tc>
          <w:tcPr>
            <w:tcW w:type="dxa" w:w="546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Q12 (67%)</w:t>
            </w:r>
          </w:p>
        </w:tc>
      </w:tr>
      <w:tr>
        <w:tc>
          <w:tcPr>
            <w:tcW w:type="dxa" w:w="1560"/>
            <w:vAlign w:val="center"/>
          </w:tcPr>
          <w:p>
            <w:pPr>
              <w:jc w:val="center"/>
            </w:pPr>
            <w:r>
              <w:rPr>
                <w:rFonts w:ascii="Times New Roman" w:cs="Times New Roman" w:eastAsia="Times New Roman" w:hAnsi="Times New Roman"/>
                <w:sz w:val="22"/>
                <w:szCs w:val="22"/>
              </w:rPr>
              <w:t xml:space="preserve">INS-02</w:t>
            </w:r>
          </w:p>
        </w:tc>
        <w:tc>
          <w:tcPr>
            <w:tcW w:type="dxa" w:w="546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Q12</w:t>
            </w:r>
          </w:p>
        </w:tc>
      </w:tr>
      <w:tr>
        <w:tc>
          <w:tcPr>
            <w:tcW w:type="dxa" w:w="1560"/>
            <w:vAlign w:val="center"/>
          </w:tcPr>
          <w:p>
            <w:pPr>
              <w:jc w:val="center"/>
            </w:pPr>
            <w:r>
              <w:rPr>
                <w:rFonts w:ascii="Times New Roman" w:cs="Times New Roman" w:eastAsia="Times New Roman" w:hAnsi="Times New Roman"/>
                <w:sz w:val="22"/>
                <w:szCs w:val="22"/>
              </w:rPr>
              <w:t xml:space="preserve">INS-03</w:t>
            </w:r>
          </w:p>
        </w:tc>
        <w:tc>
          <w:tcPr>
            <w:tcW w:type="dxa" w:w="546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Q13</w:t>
            </w:r>
          </w:p>
        </w:tc>
      </w:tr>
      <w:tr>
        <w:tc>
          <w:tcPr>
            <w:tcW w:type="dxa" w:w="1560"/>
            <w:vAlign w:val="center"/>
          </w:tcPr>
          <w:p>
            <w:pPr>
              <w:jc w:val="center"/>
            </w:pPr>
            <w:r>
              <w:rPr>
                <w:rFonts w:ascii="Times New Roman" w:cs="Times New Roman" w:eastAsia="Times New Roman" w:hAnsi="Times New Roman"/>
                <w:sz w:val="22"/>
                <w:szCs w:val="22"/>
              </w:rPr>
              <w:t xml:space="preserve">INS-04</w:t>
            </w:r>
          </w:p>
        </w:tc>
        <w:tc>
          <w:tcPr>
            <w:tcW w:type="dxa" w:w="546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Q37</w:t>
            </w:r>
          </w:p>
        </w:tc>
      </w:tr>
      <w:tr>
        <w:tc>
          <w:tcPr>
            <w:tcW w:type="dxa" w:w="1560"/>
            <w:vAlign w:val="center"/>
          </w:tcPr>
          <w:p>
            <w:pPr>
              <w:jc w:val="center"/>
            </w:pPr>
            <w:r>
              <w:rPr>
                <w:rFonts w:ascii="Times New Roman" w:cs="Times New Roman" w:eastAsia="Times New Roman" w:hAnsi="Times New Roman"/>
                <w:sz w:val="22"/>
                <w:szCs w:val="22"/>
              </w:rPr>
              <w:t xml:space="preserve">INS-05</w:t>
            </w:r>
          </w:p>
        </w:tc>
        <w:tc>
          <w:tcPr>
            <w:tcW w:type="dxa" w:w="546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Q12</w:t>
            </w:r>
          </w:p>
        </w:tc>
      </w:tr>
    </w:tbl>
    <w:p>
      <w:pPr>
        <w:pStyle w:val="Heading2"/>
      </w:pPr>
      <w:r>
        <w:t xml:space="preserve">C.5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BORROW-01</w:t>
            </w:r>
          </w:p>
        </w:tc>
        <w:tc>
          <w:tcPr>
            <w:tcW w:type="dxa" w:w="546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BORROW-02</w:t>
            </w:r>
          </w:p>
        </w:tc>
        <w:tc>
          <w:tcPr>
            <w:tcW w:type="dxa" w:w="546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BORROW-03</w:t>
            </w:r>
          </w:p>
        </w:tc>
        <w:tc>
          <w:tcPr>
            <w:tcW w:type="dxa" w:w="546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BORROW-04</w:t>
            </w:r>
          </w:p>
        </w:tc>
        <w:tc>
          <w:tcPr>
            <w:tcW w:type="dxa" w:w="546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BORROW-05</w:t>
            </w:r>
          </w:p>
        </w:tc>
        <w:tc>
          <w:tcPr>
            <w:tcW w:type="dxa" w:w="546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BORROW-06</w:t>
            </w:r>
          </w:p>
        </w:tc>
        <w:tc>
          <w:tcPr>
            <w:tcW w:type="dxa" w:w="546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Q9 (small n)</w:t>
            </w:r>
          </w:p>
        </w:tc>
      </w:tr>
    </w:tbl>
    <w:p>
      <w:pPr>
        <w:pStyle w:val="Heading2"/>
      </w:pPr>
      <w:r>
        <w:t xml:space="preserve">C.6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CRISIS-01</w:t>
            </w:r>
          </w:p>
        </w:tc>
        <w:tc>
          <w:tcPr>
            <w:tcW w:type="dxa" w:w="546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CRISIS-02</w:t>
            </w:r>
          </w:p>
        </w:tc>
        <w:tc>
          <w:tcPr>
            <w:tcW w:type="dxa" w:w="546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CRISIS-03</w:t>
            </w:r>
          </w:p>
        </w:tc>
        <w:tc>
          <w:tcPr>
            <w:tcW w:type="dxa" w:w="546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Q40</w:t>
            </w:r>
          </w:p>
        </w:tc>
      </w:tr>
    </w:tbl>
    <w:p>
      <w:pPr>
        <w:pStyle w:val="Heading2"/>
      </w:pPr>
      <w:r>
        <w:t xml:space="preserve">C.7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NUM-01</w:t>
            </w:r>
          </w:p>
        </w:tc>
        <w:tc>
          <w:tcPr>
            <w:tcW w:type="dxa" w:w="546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Q33 (small n)</w:t>
            </w:r>
          </w:p>
        </w:tc>
      </w:tr>
    </w:tbl>
    <w:p>
      <w:pPr>
        <w:pStyle w:val="Heading2"/>
      </w:pPr>
      <w:r>
        <w:t xml:space="preserve">C.8 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340"/>
        <w:gridCol w:w="54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1560"/>
            <w:vAlign w:val="center"/>
          </w:tcPr>
          <w:p>
            <w:pPr>
              <w:jc w:val="center"/>
            </w:pPr>
            <w:r>
              <w:rPr>
                <w:rFonts w:ascii="Times New Roman" w:cs="Times New Roman" w:eastAsia="Times New Roman" w:hAnsi="Times New Roman"/>
                <w:sz w:val="22"/>
                <w:szCs w:val="22"/>
              </w:rPr>
              <w:t xml:space="preserve">KG</w:t>
            </w:r>
          </w:p>
        </w:tc>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5460"/>
            <w:vAlign w:val="center"/>
          </w:tcPr>
          <w:p>
            <w:pPr>
              <w:jc w:val="center"/>
            </w:pPr>
            <w:r>
              <w:rPr>
                <w:rFonts w:ascii="Times New Roman" w:cs="Times New Roman" w:eastAsia="Times New Roman" w:hAnsi="Times New Roman"/>
                <w:sz w:val="22"/>
                <w:szCs w:val="22"/>
              </w:rPr>
              <w:t xml:space="preserve">No knowledge (IDK, blank, unfamiliar with terms)</w:t>
            </w:r>
          </w:p>
        </w:tc>
      </w:tr>
      <w:tr>
        <w:tc>
          <w:tcPr>
            <w:tcW w:type="dxa" w:w="1560"/>
            <w:vAlign w:val="center"/>
          </w:tcPr>
          <w:p>
            <w:pPr>
              <w:jc w:val="center"/>
            </w:pPr>
            <w:r>
              <w:rPr>
                <w:rFonts w:ascii="Times New Roman" w:cs="Times New Roman" w:eastAsia="Times New Roman" w:hAnsi="Times New Roman"/>
                <w:sz w:val="22"/>
                <w:szCs w:val="22"/>
              </w:rPr>
              <w:t xml:space="preserve">SE</w:t>
            </w:r>
          </w:p>
        </w:tc>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5460"/>
            <w:vAlign w:val="center"/>
          </w:tcPr>
          <w:p>
            <w:pPr>
              <w:jc w:val="center"/>
            </w:pPr>
            <w:r>
              <w:rPr>
                <w:rFonts w:ascii="Times New Roman" w:cs="Times New Roman" w:eastAsia="Times New Roman" w:hAnsi="Times New Roman"/>
                <w:sz w:val="22"/>
                <w:szCs w:val="22"/>
              </w:rPr>
              <w:t xml:space="preserve">Correct understanding but wrong answer selected</w:t>
            </w:r>
          </w:p>
        </w:tc>
      </w:tr>
    </w:tbl>
    <w:p>
      <w:pPr>
        <w:spacing w:line="360" w:after="200"/>
        <w:jc w:val="left"/>
      </w:pPr>
      <w:r>
        <w:rPr>
          <w:rFonts w:ascii="Times New Roman" w:cs="Times New Roman" w:eastAsia="Times New Roman" w:hAnsi="Times New Roman"/>
          <w:sz w:val="24"/>
          <w:szCs w:val="24"/>
        </w:rPr>
        <w:t xml:space="preserve">These cross-cutting codes combine with category codes: INF-01 = inflation misconception, INF-KG = inflation knowledge gap, INF-SE = inflation selection error.</w:t>
      </w:r>
    </w:p>
    <w:p>
      <w:r>
        <w:br w:type="page"/>
      </w:r>
    </w:p>
    <w:p>
      <w:pPr>
        <w:pStyle w:val="Heading1"/>
      </w:pPr>
      <w:r>
        <w:rPr>
          <w:rFonts w:ascii="Times New Roman" w:cs="Times New Roman" w:eastAsia="Times New Roman" w:hAnsi="Times New Roman"/>
          <w:b/>
          <w:bCs/>
          <w:sz w:val="28"/>
          <w:szCs w:val="28"/>
        </w:rPr>
        <w:t xml:space="preserve">Appendix D: AI Scorer Model Selection Protocol</w:t>
      </w:r>
    </w:p>
    <w:p>
      <w:pPr>
        <w:spacing w:line="360" w:after="200"/>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To select the scoring model for the AI-assisted classification pipeline (Section 4.2.3),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 of 953 responses.</w:t>
      </w:r>
    </w:p>
    <w:p>
      <w:pPr>
        <w:spacing w:before="240" w:after="120"/>
        <w:jc w:val="center"/>
      </w:pPr>
      <w:r>
        <w:rPr>
          <w:rFonts w:ascii="Times New Roman" w:cs="Times New Roman" w:eastAsia="Times New Roman" w:hAnsi="Times New Roman"/>
          <w:b/>
          <w:bCs/>
          <w:i/>
          <w:iCs/>
          <w:sz w:val="22"/>
          <w:szCs w:val="22"/>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200"/>
        <w:gridCol w:w="800"/>
        <w:gridCol w:w="700"/>
        <w:gridCol w:w="700"/>
        <w:gridCol w:w="600"/>
        <w:gridCol w:w="700"/>
        <w:gridCol w:w="900"/>
        <w:gridCol w:w="800"/>
        <w:gridCol w:w="960"/>
      </w:tblGrid>
      <w:tr>
        <w:trPr>
          <w:tblHeader/>
        </w:trPr>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Schema Err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600"/>
            <w:shd w:fill="D5E8F0" w:color="auto" w:val="clear"/>
            <w:vAlign w:val="center"/>
          </w:tcPr>
          <w:p>
            <w:pPr>
              <w:jc w:val="center"/>
            </w:pPr>
            <w:r>
              <w:rPr>
                <w:rFonts w:ascii="Times New Roman" w:cs="Times New Roman" w:eastAsia="Times New Roman" w:hAnsi="Times New Roman"/>
                <w:b/>
                <w:bCs/>
                <w:sz w:val="22"/>
                <w:szCs w:val="22"/>
              </w:rPr>
              <w:t xml:space="preserve">Time</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credit=50</w:t>
            </w:r>
          </w:p>
        </w:tc>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Conf. Var.</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Cost (953)</w:t>
            </w:r>
          </w:p>
        </w:tc>
        <w:tc>
          <w:tcPr>
            <w:tcW w:type="dxa" w:w="96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200"/>
            <w:vAlign w:val="center"/>
          </w:tcPr>
          <w:p>
            <w:pPr>
              <w:jc w:val="center"/>
            </w:pPr>
            <w:r>
              <w:rPr>
                <w:rFonts w:ascii="Times New Roman" w:cs="Times New Roman" w:eastAsia="Times New Roman" w:hAnsi="Times New Roman"/>
                <w:sz w:val="22"/>
                <w:szCs w:val="22"/>
              </w:rPr>
              <w:t xml:space="preserve">GPT-4.1</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41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$2.86</w:t>
            </w:r>
          </w:p>
        </w:tc>
        <w:tc>
          <w:tcPr>
            <w:tcW w:type="dxa" w:w="960"/>
            <w:vAlign w:val="center"/>
          </w:tcPr>
          <w:p>
            <w:pPr>
              <w:jc w:val="center"/>
            </w:pPr>
            <w:r>
              <w:rPr>
                <w:rFonts w:ascii="Times New Roman" w:cs="Times New Roman" w:eastAsia="Times New Roman" w:hAnsi="Times New Roman"/>
                <w:sz w:val="22"/>
                <w:szCs w:val="22"/>
              </w:rPr>
              <w:t xml:space="preserve">Selected</w:t>
            </w:r>
          </w:p>
        </w:tc>
      </w:tr>
      <w:tr>
        <w:tc>
          <w:tcPr>
            <w:tcW w:type="dxa" w:w="1200"/>
            <w:vAlign w:val="center"/>
          </w:tcPr>
          <w:p>
            <w:pPr>
              <w:jc w:val="center"/>
            </w:pPr>
            <w:r>
              <w:rPr>
                <w:rFonts w:ascii="Times New Roman" w:cs="Times New Roman" w:eastAsia="Times New Roman" w:hAnsi="Times New Roman"/>
                <w:sz w:val="22"/>
                <w:szCs w:val="22"/>
              </w:rPr>
              <w:t xml:space="preserve">DeepSeek V3.2</w:t>
            </w:r>
          </w:p>
        </w:tc>
        <w:tc>
          <w:tcPr>
            <w:tcW w:type="dxa" w:w="800"/>
            <w:vAlign w:val="center"/>
          </w:tcPr>
          <w:p>
            <w:pPr>
              <w:jc w:val="center"/>
            </w:pPr>
            <w:r>
              <w:rPr>
                <w:rFonts w:ascii="Times New Roman" w:cs="Times New Roman" w:eastAsia="Times New Roman" w:hAnsi="Times New Roman"/>
                <w:sz w:val="22"/>
                <w:szCs w:val="22"/>
              </w:rPr>
              <w:t xml:space="preserve">DeepSeek</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266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$0.24</w:t>
            </w:r>
          </w:p>
        </w:tc>
        <w:tc>
          <w:tcPr>
            <w:tcW w:type="dxa" w:w="960"/>
            <w:vAlign w:val="center"/>
          </w:tcPr>
          <w:p>
            <w:pPr>
              <w:jc w:val="center"/>
            </w:pPr>
            <w:r>
              <w:rPr>
                <w:rFonts w:ascii="Times New Roman" w:cs="Times New Roman" w:eastAsia="Times New Roman" w:hAnsi="Times New Roman"/>
                <w:sz w:val="22"/>
                <w:szCs w:val="22"/>
              </w:rPr>
              <w:t xml:space="preserve">Too slow</w:t>
            </w:r>
          </w:p>
        </w:tc>
      </w:tr>
      <w:tr>
        <w:tc>
          <w:tcPr>
            <w:tcW w:type="dxa" w:w="1200"/>
            <w:vAlign w:val="center"/>
          </w:tcPr>
          <w:p>
            <w:pPr>
              <w:jc w:val="center"/>
            </w:pPr>
            <w:r>
              <w:rPr>
                <w:rFonts w:ascii="Times New Roman" w:cs="Times New Roman" w:eastAsia="Times New Roman" w:hAnsi="Times New Roman"/>
                <w:sz w:val="22"/>
                <w:szCs w:val="22"/>
              </w:rPr>
              <w:t xml:space="preserve">Grok 4.1 Fast</w:t>
            </w:r>
          </w:p>
        </w:tc>
        <w:tc>
          <w:tcPr>
            <w:tcW w:type="dxa" w:w="800"/>
            <w:vAlign w:val="center"/>
          </w:tcPr>
          <w:p>
            <w:pPr>
              <w:jc w:val="center"/>
            </w:pPr>
            <w:r>
              <w:rPr>
                <w:rFonts w:ascii="Times New Roman" w:cs="Times New Roman" w:eastAsia="Times New Roman" w:hAnsi="Times New Roman"/>
                <w:sz w:val="22"/>
                <w:szCs w:val="22"/>
              </w:rPr>
              <w:t xml:space="preserve">xAI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1 parse</w:t>
            </w:r>
          </w:p>
        </w:tc>
        <w:tc>
          <w:tcPr>
            <w:tcW w:type="dxa" w:w="600"/>
            <w:vAlign w:val="center"/>
          </w:tcPr>
          <w:p>
            <w:pPr>
              <w:jc w:val="center"/>
            </w:pPr>
            <w:r>
              <w:rPr>
                <w:rFonts w:ascii="Times New Roman" w:cs="Times New Roman" w:eastAsia="Times New Roman" w:hAnsi="Times New Roman"/>
                <w:sz w:val="22"/>
                <w:szCs w:val="22"/>
              </w:rPr>
              <w:t xml:space="preserve">144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5% errors</w:t>
            </w:r>
          </w:p>
        </w:tc>
      </w:tr>
      <w:tr>
        <w:tc>
          <w:tcPr>
            <w:tcW w:type="dxa" w:w="1200"/>
            <w:vAlign w:val="center"/>
          </w:tcPr>
          <w:p>
            <w:pPr>
              <w:jc w:val="center"/>
            </w:pPr>
            <w:r>
              <w:rPr>
                <w:rFonts w:ascii="Times New Roman" w:cs="Times New Roman" w:eastAsia="Times New Roman" w:hAnsi="Times New Roman"/>
                <w:sz w:val="22"/>
                <w:szCs w:val="22"/>
              </w:rPr>
              <w:t xml:space="preserve">Qwen3-235B</w:t>
            </w:r>
          </w:p>
        </w:tc>
        <w:tc>
          <w:tcPr>
            <w:tcW w:type="dxa" w:w="800"/>
            <w:vAlign w:val="center"/>
          </w:tcPr>
          <w:p>
            <w:pPr>
              <w:jc w:val="center"/>
            </w:pPr>
            <w:r>
              <w:rPr>
                <w:rFonts w:ascii="Times New Roman" w:cs="Times New Roman" w:eastAsia="Times New Roman" w:hAnsi="Times New Roman"/>
                <w:sz w:val="22"/>
                <w:szCs w:val="22"/>
              </w:rPr>
              <w:t xml:space="preserve">Alibaba</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84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$0.07</w:t>
            </w:r>
          </w:p>
        </w:tc>
        <w:tc>
          <w:tcPr>
            <w:tcW w:type="dxa" w:w="960"/>
            <w:vAlign w:val="center"/>
          </w:tcPr>
          <w:p>
            <w:pPr>
              <w:jc w:val="center"/>
            </w:pPr>
            <w:r>
              <w:rPr>
                <w:rFonts w:ascii="Times New Roman" w:cs="Times New Roman" w:eastAsia="Times New Roman" w:hAnsi="Times New Roman"/>
                <w:sz w:val="22"/>
                <w:szCs w:val="22"/>
              </w:rPr>
              <w:t xml:space="preserve">No partial</w:t>
            </w:r>
          </w:p>
        </w:tc>
      </w:tr>
      <w:tr>
        <w:tc>
          <w:tcPr>
            <w:tcW w:type="dxa" w:w="1200"/>
            <w:vAlign w:val="center"/>
          </w:tcPr>
          <w:p>
            <w:pPr>
              <w:jc w:val="center"/>
            </w:pPr>
            <w:r>
              <w:rPr>
                <w:rFonts w:ascii="Times New Roman" w:cs="Times New Roman" w:eastAsia="Times New Roman" w:hAnsi="Times New Roman"/>
                <w:sz w:val="22"/>
                <w:szCs w:val="22"/>
              </w:rPr>
              <w:t xml:space="preserve">GPT-4o-mini</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37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Overly strict</w:t>
            </w:r>
          </w:p>
        </w:tc>
      </w:tr>
      <w:tr>
        <w:tc>
          <w:tcPr>
            <w:tcW w:type="dxa" w:w="1200"/>
            <w:vAlign w:val="center"/>
          </w:tcPr>
          <w:p>
            <w:pPr>
              <w:jc w:val="center"/>
            </w:pPr>
            <w:r>
              <w:rPr>
                <w:rFonts w:ascii="Times New Roman" w:cs="Times New Roman" w:eastAsia="Times New Roman" w:hAnsi="Times New Roman"/>
                <w:sz w:val="22"/>
                <w:szCs w:val="22"/>
              </w:rPr>
              <w:t xml:space="preserve">Haiku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56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$1.58</w:t>
            </w:r>
          </w:p>
        </w:tc>
        <w:tc>
          <w:tcPr>
            <w:tcW w:type="dxa" w:w="960"/>
            <w:vAlign w:val="center"/>
          </w:tcPr>
          <w:p>
            <w:pPr>
              <w:jc w:val="center"/>
            </w:pPr>
            <w:r>
              <w:rPr>
                <w:rFonts w:ascii="Times New Roman" w:cs="Times New Roman" w:eastAsia="Times New Roman" w:hAnsi="Times New Roman"/>
                <w:sz w:val="22"/>
                <w:szCs w:val="22"/>
              </w:rPr>
              <w:t xml:space="preserve">Over-detects SE</w:t>
            </w:r>
          </w:p>
        </w:tc>
      </w:tr>
      <w:tr>
        <w:tc>
          <w:tcPr>
            <w:tcW w:type="dxa" w:w="1200"/>
            <w:vAlign w:val="center"/>
          </w:tcPr>
          <w:p>
            <w:pPr>
              <w:jc w:val="center"/>
            </w:pPr>
            <w:r>
              <w:rPr>
                <w:rFonts w:ascii="Times New Roman" w:cs="Times New Roman" w:eastAsia="Times New Roman" w:hAnsi="Times New Roman"/>
                <w:sz w:val="22"/>
                <w:szCs w:val="22"/>
              </w:rPr>
              <w:t xml:space="preserve">Gemini 3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1 (429)</w:t>
            </w:r>
          </w:p>
        </w:tc>
        <w:tc>
          <w:tcPr>
            <w:tcW w:type="dxa" w:w="600"/>
            <w:vAlign w:val="center"/>
          </w:tcPr>
          <w:p>
            <w:pPr>
              <w:jc w:val="center"/>
            </w:pPr>
            <w:r>
              <w:rPr>
                <w:rFonts w:ascii="Times New Roman" w:cs="Times New Roman" w:eastAsia="Times New Roman" w:hAnsi="Times New Roman"/>
                <w:sz w:val="22"/>
                <w:szCs w:val="22"/>
              </w:rPr>
              <w:t xml:space="preserve">42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$0.80</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Sonnet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71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$4.72</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Gemini 2.0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2</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$0.15</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Minimax M2.1</w:t>
            </w:r>
          </w:p>
        </w:tc>
        <w:tc>
          <w:tcPr>
            <w:tcW w:type="dxa" w:w="800"/>
            <w:vAlign w:val="center"/>
          </w:tcPr>
          <w:p>
            <w:pPr>
              <w:jc w:val="center"/>
            </w:pPr>
            <w:r>
              <w:rPr>
                <w:rFonts w:ascii="Times New Roman" w:cs="Times New Roman" w:eastAsia="Times New Roman" w:hAnsi="Times New Roman"/>
                <w:sz w:val="22"/>
                <w:szCs w:val="22"/>
              </w:rPr>
              <w:t xml:space="preserve">Minimax</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19/20</w:t>
            </w:r>
          </w:p>
        </w:tc>
        <w:tc>
          <w:tcPr>
            <w:tcW w:type="dxa" w:w="600"/>
            <w:vAlign w:val="center"/>
          </w:tcPr>
          <w:p>
            <w:pPr>
              <w:jc w:val="center"/>
            </w:pPr>
            <w:r>
              <w:rPr>
                <w:rFonts w:ascii="Times New Roman" w:cs="Times New Roman" w:eastAsia="Times New Roman" w:hAnsi="Times New Roman"/>
                <w:sz w:val="22"/>
                <w:szCs w:val="22"/>
              </w:rPr>
              <w:t xml:space="preserve">83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Kimi K2.5</w:t>
            </w:r>
          </w:p>
        </w:tc>
        <w:tc>
          <w:tcPr>
            <w:tcW w:type="dxa" w:w="800"/>
            <w:vAlign w:val="center"/>
          </w:tcPr>
          <w:p>
            <w:pPr>
              <w:jc w:val="center"/>
            </w:pPr>
            <w:r>
              <w:rPr>
                <w:rFonts w:ascii="Times New Roman" w:cs="Times New Roman" w:eastAsia="Times New Roman" w:hAnsi="Times New Roman"/>
                <w:sz w:val="22"/>
                <w:szCs w:val="22"/>
              </w:rPr>
              <w:t xml:space="preserve">Moonshot</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20/20</w:t>
            </w:r>
          </w:p>
        </w:tc>
        <w:tc>
          <w:tcPr>
            <w:tcW w:type="dxa" w:w="600"/>
            <w:vAlign w:val="center"/>
          </w:tcPr>
          <w:p>
            <w:pPr>
              <w:jc w:val="center"/>
            </w:pPr>
            <w:r>
              <w:rPr>
                <w:rFonts w:ascii="Times New Roman" w:cs="Times New Roman" w:eastAsia="Times New Roman" w:hAnsi="Times New Roman"/>
                <w:sz w:val="22"/>
                <w:szCs w:val="22"/>
              </w:rPr>
              <w:t xml:space="preserve">173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bl>
    <w:p>
      <w:pPr>
        <w:spacing w:line="360" w:after="200"/>
        <w:jc w:val="left"/>
      </w:pPr>
      <w:r>
        <w:rPr>
          <w:rFonts w:ascii="Times New Roman" w:cs="Times New Roman" w:eastAsia="Times New Roman" w:hAnsi="Times New Roman"/>
          <w:sz w:val="24"/>
          <w:szCs w:val="24"/>
        </w:rPr>
        <w:t xml:space="preserve">Schema violations occur when a diagnose item returns the confirm-format JSON (e.g., understanding_level instead of diagnosis_type). Three models were disqualified: Minimax M2.1 and Kimi K2.5 returned empty or unparseable responses on nearly all items; Gemini 2.0 Flash produced two schema violations and lacked any partial-credit classifications.</w:t>
      </w:r>
    </w:p>
    <w:p>
      <w:pPr>
        <w:spacing w:before="240" w:after="120"/>
        <w:jc w:val="center"/>
      </w:pPr>
      <w:r>
        <w:rPr>
          <w:rFonts w:ascii="Times New Roman" w:cs="Times New Roman" w:eastAsia="Times New Roman" w:hAnsi="Times New Roman"/>
          <w:b/>
          <w:bCs/>
          <w:i/>
          <w:iCs/>
          <w:sz w:val="22"/>
          <w:szCs w:val="22"/>
        </w:rPr>
        <w:t xml:space="preserve">Table D.2: Inter-Model Agreement on Disputed Classifications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900"/>
        <w:gridCol w:w="1260"/>
        <w:gridCol w:w="1200"/>
        <w:gridCol w:w="1200"/>
        <w:gridCol w:w="1200"/>
        <w:gridCol w:w="1200"/>
        <w:gridCol w:w="1200"/>
      </w:tblGrid>
      <w:tr>
        <w:trPr>
          <w:tblHeader/>
        </w:trPr>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260"/>
            <w:shd w:fill="D5E8F0" w:color="auto" w:val="clear"/>
            <w:vAlign w:val="center"/>
          </w:tcPr>
          <w:p>
            <w:pPr>
              <w:jc w:val="center"/>
            </w:pPr>
            <w:r>
              <w:rPr>
                <w:rFonts w:ascii="Times New Roman" w:cs="Times New Roman" w:eastAsia="Times New Roman" w:hAnsi="Times New Roman"/>
                <w:b/>
                <w:bCs/>
                <w:sz w:val="22"/>
                <w:szCs w:val="22"/>
              </w:rPr>
              <w:t xml:space="preserve">Student Text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900"/>
            <w:vAlign w:val="center"/>
          </w:tcPr>
          <w:p>
            <w:pPr>
              <w:jc w:val="center"/>
            </w:pPr>
            <w:r>
              <w:rPr>
                <w:rFonts w:ascii="Times New Roman" w:cs="Times New Roman" w:eastAsia="Times New Roman" w:hAnsi="Times New Roman"/>
                <w:sz w:val="22"/>
                <w:szCs w:val="22"/>
              </w:rPr>
              <w:t xml:space="preserve">Q9 Diagnose</w:t>
            </w:r>
          </w:p>
        </w:tc>
        <w:tc>
          <w:tcPr>
            <w:tcW w:type="dxa" w:w="1260"/>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r>
      <w:tr>
        <w:tc>
          <w:tcPr>
            <w:tcW w:type="dxa" w:w="900"/>
            <w:vAlign w:val="center"/>
          </w:tcPr>
          <w:p>
            <w:pPr>
              <w:jc w:val="center"/>
            </w:pPr>
            <w:r>
              <w:rPr>
                <w:rFonts w:ascii="Times New Roman" w:cs="Times New Roman" w:eastAsia="Times New Roman" w:hAnsi="Times New Roman"/>
                <w:sz w:val="22"/>
                <w:szCs w:val="22"/>
              </w:rPr>
              <w:t xml:space="preserve">Q5 Diagnose</w:t>
            </w:r>
          </w:p>
        </w:tc>
        <w:tc>
          <w:tcPr>
            <w:tcW w:type="dxa" w:w="1260"/>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cr=100</w:t>
            </w:r>
          </w:p>
        </w:tc>
        <w:tc>
          <w:tcPr>
            <w:tcW w:type="dxa" w:w="1200"/>
            <w:vAlign w:val="center"/>
          </w:tcPr>
          <w:p>
            <w:pPr>
              <w:jc w:val="center"/>
            </w:pPr>
            <w:r>
              <w:rPr>
                <w:rFonts w:ascii="Times New Roman" w:cs="Times New Roman" w:eastAsia="Times New Roman" w:hAnsi="Times New Roman"/>
                <w:sz w:val="22"/>
                <w:szCs w:val="22"/>
              </w:rPr>
              <w:t xml:space="preserve">KG (idk), cr=0</w:t>
            </w:r>
          </w:p>
        </w:tc>
        <w:tc>
          <w:tcPr>
            <w:tcW w:type="dxa" w:w="1200"/>
            <w:vAlign w:val="center"/>
          </w:tcPr>
          <w:p>
            <w:pPr>
              <w:jc w:val="center"/>
            </w:pPr>
            <w:r>
              <w:rPr>
                <w:rFonts w:ascii="Times New Roman" w:cs="Times New Roman" w:eastAsia="Times New Roman" w:hAnsi="Times New Roman"/>
                <w:sz w:val="22"/>
                <w:szCs w:val="22"/>
              </w:rPr>
              <w:t xml:space="preserve">KG (idk), cr=0</w:t>
            </w:r>
          </w:p>
        </w:tc>
      </w:tr>
      <w:tr>
        <w:tc>
          <w:tcPr>
            <w:tcW w:type="dxa" w:w="900"/>
            <w:vAlign w:val="center"/>
          </w:tcPr>
          <w:p>
            <w:pPr>
              <w:jc w:val="center"/>
            </w:pPr>
            <w:r>
              <w:rPr>
                <w:rFonts w:ascii="Times New Roman" w:cs="Times New Roman" w:eastAsia="Times New Roman" w:hAnsi="Times New Roman"/>
                <w:sz w:val="22"/>
                <w:szCs w:val="22"/>
              </w:rPr>
              <w:t xml:space="preserve">Q13 Diagnose</w:t>
            </w:r>
          </w:p>
        </w:tc>
        <w:tc>
          <w:tcPr>
            <w:tcW w:type="dxa" w:w="1260"/>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(INS-03), cr=50</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(INS-03)</w:t>
            </w:r>
          </w:p>
        </w:tc>
        <w:tc>
          <w:tcPr>
            <w:tcW w:type="dxa" w:w="1200"/>
            <w:vAlign w:val="center"/>
          </w:tcPr>
          <w:p>
            <w:pPr>
              <w:jc w:val="center"/>
            </w:pPr>
            <w:r>
              <w:rPr>
                <w:rFonts w:ascii="Times New Roman" w:cs="Times New Roman" w:eastAsia="Times New Roman" w:hAnsi="Times New Roman"/>
                <w:sz w:val="22"/>
                <w:szCs w:val="22"/>
              </w:rPr>
              <w:t xml:space="preserve">misconc. (INS-03)</w:t>
            </w:r>
          </w:p>
        </w:tc>
      </w:tr>
      <w:tr>
        <w:tc>
          <w:tcPr>
            <w:tcW w:type="dxa" w:w="900"/>
            <w:vAlign w:val="center"/>
          </w:tcPr>
          <w:p>
            <w:pPr>
              <w:jc w:val="center"/>
            </w:pPr>
            <w:r>
              <w:rPr>
                <w:rFonts w:ascii="Times New Roman" w:cs="Times New Roman" w:eastAsia="Times New Roman" w:hAnsi="Times New Roman"/>
                <w:sz w:val="22"/>
                <w:szCs w:val="22"/>
              </w:rPr>
              <w:t xml:space="preserve">Q37 Confirm</w:t>
            </w:r>
          </w:p>
        </w:tc>
        <w:tc>
          <w:tcPr>
            <w:tcW w:type="dxa" w:w="1260"/>
            <w:vAlign w:val="center"/>
          </w:tcPr>
          <w:p>
            <w:pPr>
              <w:jc w:val="center"/>
            </w:pPr>
            <w:r>
              <w:rPr>
                <w:rFonts w:ascii="Times New Roman" w:cs="Times New Roman" w:eastAsia="Times New Roman" w:hAnsi="Times New Roman"/>
                <w:sz w:val="22"/>
                <w:szCs w:val="22"/>
              </w:rPr>
              <w:t xml:space="preserve">“Liability coverage protects you…”</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partial, cr=50</w:t>
            </w:r>
          </w:p>
        </w:tc>
        <w:tc>
          <w:tcPr>
            <w:tcW w:type="dxa" w:w="1200"/>
            <w:vAlign w:val="center"/>
          </w:tcPr>
          <w:p>
            <w:pPr>
              <w:jc w:val="center"/>
            </w:pPr>
            <w:r>
              <w:rPr>
                <w:rFonts w:ascii="Times New Roman" w:cs="Times New Roman" w:eastAsia="Times New Roman" w:hAnsi="Times New Roman"/>
                <w:sz w:val="22"/>
                <w:szCs w:val="22"/>
              </w:rPr>
              <w:t xml:space="preserve">verified, cr=100</w:t>
            </w:r>
          </w:p>
        </w:tc>
      </w:tr>
    </w:tbl>
    <w:p>
      <w:pPr>
        <w:spacing w:line="360" w:after="200"/>
      </w:pPr>
      <w:r>
        <w:rPr>
          <w:rFonts w:ascii="Times New Roman" w:cs="Times New Roman" w:eastAsia="Times New Roman" w:hAnsi="Times New Roman"/>
          <w:b/>
          <w:bCs/>
          <w:sz w:val="24"/>
          <w:szCs w:val="24"/>
        </w:rPr>
        <w:t xml:space="preserve">Selection Rationale. </w:t>
      </w:r>
      <w:r>
        <w:rPr>
          <w:rFonts w:ascii="Times New Roman" w:cs="Times New Roman" w:eastAsia="Times New Roman" w:hAnsi="Times New Roman"/>
          <w:sz w:val="24"/>
          <w:szCs w:val="24"/>
        </w:rPr>
        <w:t xml:space="preserve">GPT-4.1 was selected as the production scorer based on the following criteria: (a) zero schema violations across all 20 test items, (b) zero parse or API errors, (c) appropriate use of credit=50 for borderline misconceptions (e.g., Q5, where the student’s reasoning was directionally aligned with a misconception but lacked specificity), (d) balanced classification distributions that were neither overly lenient (as with Gemini 2.0 Flash, which classified 66.7% of confirm items as “verified”) nor overly strict (as with GPT-4o-mini, which classified only 11.1% as “verified”), and (e) reasonable throughput and cost for the full corpus (~33 minutes, ~$2.86 for 953 responses). On the disputed items, GPT-4.1’s classifications aligned with the majority of the zero-error models in three of four cases (Q9, Q5, Q37), supporting its position as a concordant central scorer.</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png"/><Relationship Id="rId9" Type="http://schemas.openxmlformats.org/officeDocument/2006/relationships/image" Target="media/0a2b849edc804f65e3c6bff571fb8bd51b09c574.png"/><Relationship Id="rId10" Type="http://schemas.openxmlformats.org/officeDocument/2006/relationships/image" Target="media/a2ded5315995609fcf1cc70a7f7a979402eaf036.png"/><Relationship Id="rId11" Type="http://schemas.openxmlformats.org/officeDocument/2006/relationships/image" Target="media/1dd102a4ef1d5ee1253ce89081466c70eb774a29.png"/><Relationship Id="rId12" Type="http://schemas.openxmlformats.org/officeDocument/2006/relationships/image" Target="media/e20a754195d8797c443e631068bf6cc458b9e9b8.png"/><Relationship Id="rId13" Type="http://schemas.openxmlformats.org/officeDocument/2006/relationships/image" Target="media/6b924f66c73cf875d83a03e08e0bb344059457b2.png"/><Relationship Id="rId14" Type="http://schemas.openxmlformats.org/officeDocument/2006/relationships/image" Target="media/ad2f2b8ca0c97fa3c78aa94b3459085c92207e53.png"/><Relationship Id="rId15" Type="http://schemas.openxmlformats.org/officeDocument/2006/relationships/image" Target="media/fb3ef5bb6345b74d5a49530286d89685d865057b.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2026-02-10T21:25:31.198Z</dcterms:created>
  <dcterms:modified xsi:type="dcterms:W3CDTF">2026-02-10T21:25:31.200Z</dcterms:modified>
</cp:coreProperties>
</file>

<file path=docProps/custom.xml><?xml version="1.0" encoding="utf-8"?>
<Properties xmlns="http://schemas.openxmlformats.org/officeDocument/2006/custom-properties" xmlns:vt="http://schemas.openxmlformats.org/officeDocument/2006/docPropsVTypes"/>
</file>